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DFA699">
      <w:pPr>
        <w:jc w:val="center"/>
        <w:rPr>
          <w:rFonts w:ascii="华文新魏" w:hAnsi="宋体" w:eastAsia="华文新魏"/>
          <w:sz w:val="52"/>
          <w:szCs w:val="52"/>
        </w:rPr>
      </w:pPr>
    </w:p>
    <w:p w14:paraId="44D257F7">
      <w:pPr>
        <w:spacing w:line="360" w:lineRule="auto"/>
        <w:jc w:val="center"/>
        <w:rPr>
          <w:rFonts w:ascii="华文新魏" w:hAnsi="宋体" w:eastAsia="华文新魏"/>
          <w:sz w:val="84"/>
          <w:szCs w:val="84"/>
        </w:rPr>
      </w:pPr>
      <w:r>
        <w:rPr>
          <w:rFonts w:hint="eastAsia" w:ascii="华文新魏" w:hAnsi="宋体" w:eastAsia="华文新魏"/>
          <w:sz w:val="84"/>
          <w:szCs w:val="84"/>
        </w:rPr>
        <w:t>广西国力招标有限公司</w:t>
      </w:r>
    </w:p>
    <w:p w14:paraId="7336A113">
      <w:pPr>
        <w:spacing w:before="156" w:beforeLines="50"/>
        <w:jc w:val="center"/>
        <w:rPr>
          <w:rFonts w:ascii="楷体" w:hAnsi="楷体" w:eastAsia="楷体"/>
          <w:sz w:val="48"/>
          <w:szCs w:val="48"/>
        </w:rPr>
      </w:pPr>
    </w:p>
    <w:p w14:paraId="50AD3EFF">
      <w:pPr>
        <w:spacing w:before="156" w:beforeLines="50"/>
        <w:jc w:val="center"/>
        <w:rPr>
          <w:rFonts w:ascii="楷体" w:hAnsi="楷体" w:eastAsia="楷体"/>
          <w:sz w:val="72"/>
          <w:szCs w:val="72"/>
        </w:rPr>
      </w:pPr>
      <w:r>
        <w:rPr>
          <w:rFonts w:hint="eastAsia" w:ascii="楷体" w:hAnsi="楷体" w:eastAsia="楷体"/>
          <w:sz w:val="72"/>
          <w:szCs w:val="72"/>
        </w:rPr>
        <w:t>竞争性磋商文件</w:t>
      </w:r>
    </w:p>
    <w:p w14:paraId="0342C3AA">
      <w:pPr>
        <w:pStyle w:val="10"/>
        <w:snapToGrid w:val="0"/>
        <w:spacing w:before="120" w:after="120" w:line="360" w:lineRule="auto"/>
        <w:rPr>
          <w:rFonts w:ascii="仿宋_GB2312" w:hAnsi="宋体" w:eastAsia="仿宋_GB2312"/>
          <w:b/>
          <w:bCs/>
          <w:sz w:val="30"/>
          <w:szCs w:val="30"/>
        </w:rPr>
      </w:pPr>
    </w:p>
    <w:p w14:paraId="45A1A292">
      <w:pPr>
        <w:pStyle w:val="10"/>
        <w:snapToGrid w:val="0"/>
        <w:spacing w:before="120" w:after="120" w:line="360" w:lineRule="auto"/>
        <w:jc w:val="center"/>
        <w:rPr>
          <w:rFonts w:ascii="仿宋_GB2312" w:hAnsi="宋体" w:eastAsia="仿宋_GB2312"/>
          <w:b/>
          <w:bCs/>
          <w:sz w:val="30"/>
          <w:szCs w:val="30"/>
        </w:rPr>
      </w:pPr>
      <w:r>
        <w:rPr>
          <w:rFonts w:hint="eastAsia" w:ascii="仿宋_GB2312" w:hAnsi="宋体" w:eastAsia="仿宋_GB2312"/>
          <w:b/>
          <w:bCs/>
          <w:sz w:val="30"/>
          <w:szCs w:val="30"/>
        </w:rPr>
        <w:drawing>
          <wp:inline distT="0" distB="0" distL="114300" distR="114300">
            <wp:extent cx="2285365" cy="1624965"/>
            <wp:effectExtent l="0" t="0" r="635" b="13335"/>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pic:cNvPicPr>
                  </pic:nvPicPr>
                  <pic:blipFill>
                    <a:blip r:embed="rId8"/>
                    <a:stretch>
                      <a:fillRect/>
                    </a:stretch>
                  </pic:blipFill>
                  <pic:spPr>
                    <a:xfrm>
                      <a:off x="0" y="0"/>
                      <a:ext cx="2285365" cy="1624965"/>
                    </a:xfrm>
                    <a:prstGeom prst="rect">
                      <a:avLst/>
                    </a:prstGeom>
                    <a:noFill/>
                    <a:ln>
                      <a:noFill/>
                    </a:ln>
                  </pic:spPr>
                </pic:pic>
              </a:graphicData>
            </a:graphic>
          </wp:inline>
        </w:drawing>
      </w:r>
    </w:p>
    <w:p w14:paraId="4F4A2D2A"/>
    <w:p w14:paraId="358C8315">
      <w:pPr>
        <w:pStyle w:val="10"/>
        <w:keepNext w:val="0"/>
        <w:keepLines w:val="0"/>
        <w:pageBreakBefore w:val="0"/>
        <w:widowControl w:val="0"/>
        <w:kinsoku/>
        <w:wordWrap/>
        <w:overflowPunct/>
        <w:topLinePunct w:val="0"/>
        <w:autoSpaceDE/>
        <w:autoSpaceDN/>
        <w:bidi w:val="0"/>
        <w:adjustRightInd/>
        <w:snapToGrid w:val="0"/>
        <w:spacing w:before="120" w:after="120" w:line="500" w:lineRule="exact"/>
        <w:ind w:firstLine="904" w:firstLineChars="250"/>
        <w:jc w:val="both"/>
        <w:textAlignment w:val="auto"/>
        <w:rPr>
          <w:rFonts w:hint="eastAsia" w:hAnsi="宋体"/>
          <w:b/>
          <w:bCs/>
          <w:sz w:val="36"/>
          <w:szCs w:val="36"/>
          <w:lang w:eastAsia="zh-CN"/>
        </w:rPr>
      </w:pPr>
      <w:r>
        <w:rPr>
          <w:rFonts w:hint="eastAsia" w:hAnsi="宋体"/>
          <w:b/>
          <w:bCs/>
          <w:sz w:val="36"/>
          <w:szCs w:val="36"/>
          <w:lang w:eastAsia="zh-CN"/>
        </w:rPr>
        <w:t>采购项目编号：GXGL2025S-C617-Z</w:t>
      </w:r>
    </w:p>
    <w:p w14:paraId="07745039">
      <w:pPr>
        <w:pStyle w:val="10"/>
        <w:keepNext w:val="0"/>
        <w:keepLines w:val="0"/>
        <w:pageBreakBefore w:val="0"/>
        <w:widowControl w:val="0"/>
        <w:kinsoku/>
        <w:wordWrap/>
        <w:overflowPunct/>
        <w:topLinePunct w:val="0"/>
        <w:autoSpaceDE/>
        <w:autoSpaceDN/>
        <w:bidi w:val="0"/>
        <w:adjustRightInd/>
        <w:snapToGrid w:val="0"/>
        <w:spacing w:before="120" w:after="120" w:line="500" w:lineRule="exact"/>
        <w:ind w:firstLine="803" w:firstLineChars="250"/>
        <w:jc w:val="both"/>
        <w:textAlignment w:val="auto"/>
        <w:rPr>
          <w:rFonts w:hint="eastAsia" w:hAnsi="宋体"/>
          <w:b/>
          <w:bCs/>
          <w:sz w:val="32"/>
          <w:szCs w:val="32"/>
          <w:lang w:eastAsia="zh-CN"/>
        </w:rPr>
      </w:pPr>
      <w:r>
        <w:rPr>
          <w:rFonts w:hint="eastAsia" w:hAnsi="宋体"/>
          <w:b/>
          <w:bCs/>
          <w:sz w:val="32"/>
          <w:szCs w:val="32"/>
          <w:lang w:eastAsia="zh-CN"/>
        </w:rPr>
        <w:t>采购项目名称：南宁市2025年公办普惠托育机构能力提升项目</w:t>
      </w:r>
    </w:p>
    <w:p w14:paraId="5A53E9CC">
      <w:pPr>
        <w:pBdr>
          <w:bottom w:val="thickThinSmallGap" w:color="auto" w:sz="24" w:space="1"/>
        </w:pBdr>
        <w:snapToGrid w:val="0"/>
        <w:spacing w:before="156" w:beforeLines="50" w:line="500" w:lineRule="exact"/>
        <w:jc w:val="left"/>
        <w:rPr>
          <w:rFonts w:hint="eastAsia" w:hAnsi="宋体"/>
          <w:b/>
          <w:sz w:val="36"/>
          <w:szCs w:val="36"/>
          <w:lang w:eastAsia="zh-CN"/>
        </w:rPr>
      </w:pPr>
    </w:p>
    <w:p w14:paraId="745CDE35">
      <w:pPr>
        <w:snapToGrid w:val="0"/>
        <w:spacing w:before="156" w:beforeLines="50" w:line="500" w:lineRule="exact"/>
        <w:ind w:firstLine="2409" w:firstLineChars="800"/>
        <w:jc w:val="left"/>
        <w:rPr>
          <w:rFonts w:ascii="宋体" w:hAnsi="宋体"/>
          <w:b/>
          <w:sz w:val="30"/>
          <w:szCs w:val="72"/>
        </w:rPr>
      </w:pPr>
      <w:r>
        <w:rPr>
          <w:rFonts w:hint="eastAsia" w:ascii="宋体" w:hAnsi="宋体"/>
          <w:b/>
          <w:sz w:val="30"/>
          <w:szCs w:val="72"/>
        </w:rPr>
        <w:t>采   购   人：</w:t>
      </w:r>
      <w:r>
        <w:rPr>
          <w:rFonts w:hint="eastAsia" w:ascii="宋体" w:hAnsi="宋体"/>
          <w:b/>
          <w:sz w:val="30"/>
          <w:szCs w:val="72"/>
          <w:lang w:eastAsia="zh-CN"/>
        </w:rPr>
        <w:t>南宁市卫生健康委员会</w:t>
      </w:r>
    </w:p>
    <w:p w14:paraId="71C8D968">
      <w:pPr>
        <w:snapToGrid w:val="0"/>
        <w:spacing w:before="156" w:beforeLines="50" w:line="500" w:lineRule="exact"/>
        <w:ind w:firstLine="2409" w:firstLineChars="800"/>
        <w:jc w:val="left"/>
        <w:rPr>
          <w:rFonts w:ascii="宋体" w:hAnsi="宋体"/>
          <w:b/>
          <w:sz w:val="30"/>
          <w:szCs w:val="72"/>
        </w:rPr>
      </w:pPr>
      <w:r>
        <w:rPr>
          <w:rFonts w:hint="eastAsia" w:ascii="宋体" w:hAnsi="宋体"/>
          <w:b/>
          <w:sz w:val="30"/>
          <w:szCs w:val="72"/>
        </w:rPr>
        <w:t>采购代理机构：广西国力招标有限公司</w:t>
      </w:r>
    </w:p>
    <w:p w14:paraId="695DA3B9">
      <w:pPr>
        <w:snapToGrid w:val="0"/>
        <w:spacing w:before="156" w:beforeLines="50" w:line="500" w:lineRule="exact"/>
        <w:jc w:val="center"/>
        <w:rPr>
          <w:rFonts w:ascii="宋体" w:hAnsi="宋体"/>
          <w:b/>
          <w:sz w:val="30"/>
          <w:szCs w:val="72"/>
        </w:rPr>
      </w:pPr>
      <w:r>
        <w:rPr>
          <w:rFonts w:hint="eastAsia" w:ascii="宋体" w:hAnsi="宋体"/>
          <w:b/>
          <w:sz w:val="30"/>
          <w:szCs w:val="72"/>
        </w:rPr>
        <w:t>202</w:t>
      </w:r>
      <w:r>
        <w:rPr>
          <w:rFonts w:hint="eastAsia" w:ascii="宋体" w:hAnsi="宋体"/>
          <w:b/>
          <w:sz w:val="30"/>
          <w:szCs w:val="72"/>
          <w:lang w:val="en-US" w:eastAsia="zh-CN"/>
        </w:rPr>
        <w:t>5</w:t>
      </w:r>
      <w:r>
        <w:rPr>
          <w:rFonts w:hint="eastAsia" w:ascii="宋体" w:hAnsi="宋体"/>
          <w:b/>
          <w:sz w:val="30"/>
          <w:szCs w:val="72"/>
        </w:rPr>
        <w:t>年</w:t>
      </w:r>
      <w:r>
        <w:rPr>
          <w:rFonts w:hint="eastAsia" w:ascii="宋体" w:hAnsi="宋体"/>
          <w:b/>
          <w:sz w:val="30"/>
          <w:szCs w:val="72"/>
          <w:lang w:val="en-US" w:eastAsia="zh-CN"/>
        </w:rPr>
        <w:t>11</w:t>
      </w:r>
      <w:r>
        <w:rPr>
          <w:rFonts w:hint="eastAsia" w:ascii="宋体" w:hAnsi="宋体"/>
          <w:b/>
          <w:sz w:val="30"/>
          <w:szCs w:val="72"/>
        </w:rPr>
        <w:t>月</w:t>
      </w:r>
    </w:p>
    <w:p w14:paraId="11135A2A">
      <w:pPr>
        <w:jc w:val="center"/>
        <w:rPr>
          <w:rFonts w:ascii="仿宋_GB2312" w:hAnsi="宋体" w:eastAsia="仿宋_GB2312"/>
          <w:b/>
          <w:sz w:val="44"/>
          <w:szCs w:val="44"/>
        </w:rPr>
      </w:pPr>
      <w:r>
        <w:rPr>
          <w:rFonts w:ascii="仿宋_GB2312" w:hAnsi="宋体" w:eastAsia="仿宋_GB2312"/>
          <w:b/>
          <w:sz w:val="32"/>
          <w:szCs w:val="32"/>
        </w:rPr>
        <w:br w:type="page"/>
      </w:r>
      <w:r>
        <w:rPr>
          <w:rFonts w:ascii="仿宋_GB2312" w:hAnsi="宋体" w:eastAsia="仿宋_GB2312"/>
          <w:b/>
          <w:sz w:val="32"/>
          <w:szCs w:val="32"/>
        </w:rPr>
        <w:t xml:space="preserve"> </w:t>
      </w:r>
    </w:p>
    <w:p w14:paraId="30978E53">
      <w:pPr>
        <w:jc w:val="center"/>
        <w:rPr>
          <w:rFonts w:ascii="宋体" w:hAnsi="宋体"/>
          <w:b/>
          <w:sz w:val="44"/>
          <w:szCs w:val="44"/>
        </w:rPr>
      </w:pPr>
      <w:r>
        <w:rPr>
          <w:rFonts w:hint="eastAsia" w:ascii="宋体" w:hAnsi="宋体"/>
          <w:b/>
          <w:sz w:val="44"/>
          <w:szCs w:val="44"/>
        </w:rPr>
        <w:t>目  录</w:t>
      </w:r>
    </w:p>
    <w:p w14:paraId="4CA666B3">
      <w:pPr>
        <w:jc w:val="center"/>
        <w:rPr>
          <w:rFonts w:ascii="宋体" w:hAnsi="宋体"/>
          <w:b/>
          <w:sz w:val="44"/>
          <w:szCs w:val="44"/>
        </w:rPr>
      </w:pPr>
    </w:p>
    <w:p w14:paraId="5C8EDD79">
      <w:pPr>
        <w:pStyle w:val="14"/>
        <w:tabs>
          <w:tab w:val="right" w:leader="dot" w:pos="9628"/>
        </w:tabs>
        <w:rPr>
          <w:rFonts w:ascii="宋体" w:hAnsi="宋体"/>
          <w:sz w:val="32"/>
          <w:szCs w:val="32"/>
        </w:rPr>
      </w:pPr>
      <w:r>
        <w:rPr>
          <w:rFonts w:ascii="仿宋_GB2312" w:hAnsi="宋体" w:eastAsia="仿宋_GB2312"/>
          <w:b/>
          <w:sz w:val="32"/>
          <w:szCs w:val="32"/>
        </w:rPr>
        <w:fldChar w:fldCharType="begin"/>
      </w:r>
      <w:r>
        <w:rPr>
          <w:rFonts w:ascii="仿宋_GB2312" w:hAnsi="宋体" w:eastAsia="仿宋_GB2312"/>
          <w:b/>
          <w:sz w:val="32"/>
          <w:szCs w:val="32"/>
        </w:rPr>
        <w:instrText xml:space="preserve"> TOC \o "1-1" \h \z \u </w:instrText>
      </w:r>
      <w:r>
        <w:rPr>
          <w:rFonts w:ascii="仿宋_GB2312" w:hAnsi="宋体" w:eastAsia="仿宋_GB2312"/>
          <w:b/>
          <w:sz w:val="32"/>
          <w:szCs w:val="32"/>
        </w:rPr>
        <w:fldChar w:fldCharType="separate"/>
      </w:r>
      <w:r>
        <w:fldChar w:fldCharType="begin"/>
      </w:r>
      <w:r>
        <w:instrText xml:space="preserve"> HYPERLINK \l "_Toc476258756" </w:instrText>
      </w:r>
      <w:r>
        <w:fldChar w:fldCharType="separate"/>
      </w:r>
      <w:r>
        <w:rPr>
          <w:rStyle w:val="24"/>
          <w:rFonts w:hint="eastAsia" w:ascii="宋体" w:hAnsi="宋体"/>
          <w:color w:val="auto"/>
          <w:sz w:val="32"/>
          <w:szCs w:val="32"/>
        </w:rPr>
        <w:t>第一章</w:t>
      </w:r>
      <w:r>
        <w:rPr>
          <w:rStyle w:val="24"/>
          <w:rFonts w:ascii="宋体" w:hAnsi="宋体"/>
          <w:color w:val="auto"/>
          <w:sz w:val="32"/>
          <w:szCs w:val="32"/>
        </w:rPr>
        <w:t xml:space="preserve">  </w:t>
      </w:r>
      <w:r>
        <w:rPr>
          <w:rStyle w:val="24"/>
          <w:rFonts w:hint="eastAsia" w:ascii="宋体" w:hAnsi="宋体"/>
          <w:color w:val="auto"/>
          <w:sz w:val="32"/>
          <w:szCs w:val="32"/>
        </w:rPr>
        <w:t>竞争性磋商</w:t>
      </w:r>
      <w:bookmarkStart w:id="0" w:name="_Hlt43300494"/>
      <w:r>
        <w:rPr>
          <w:rStyle w:val="24"/>
          <w:rFonts w:hint="eastAsia" w:ascii="宋体" w:hAnsi="宋体"/>
          <w:color w:val="auto"/>
          <w:sz w:val="32"/>
          <w:szCs w:val="32"/>
        </w:rPr>
        <w:t>公</w:t>
      </w:r>
      <w:bookmarkEnd w:id="0"/>
      <w:r>
        <w:rPr>
          <w:rStyle w:val="24"/>
          <w:rFonts w:hint="eastAsia" w:ascii="宋体" w:hAnsi="宋体"/>
          <w:color w:val="auto"/>
          <w:sz w:val="32"/>
          <w:szCs w:val="32"/>
        </w:rPr>
        <w:t>告</w:t>
      </w:r>
      <w:bookmarkStart w:id="1" w:name="_Hlt60757871"/>
      <w:bookmarkStart w:id="2" w:name="_Hlt60757870"/>
      <w:r>
        <w:rPr>
          <w:rFonts w:ascii="宋体" w:hAnsi="宋体"/>
          <w:sz w:val="32"/>
          <w:szCs w:val="32"/>
        </w:rPr>
        <w:tab/>
      </w:r>
      <w:bookmarkEnd w:id="1"/>
      <w:bookmarkEnd w:id="2"/>
      <w:r>
        <w:rPr>
          <w:rFonts w:ascii="宋体" w:hAnsi="宋体"/>
          <w:sz w:val="32"/>
          <w:szCs w:val="32"/>
        </w:rPr>
        <w:fldChar w:fldCharType="begin"/>
      </w:r>
      <w:r>
        <w:rPr>
          <w:rFonts w:ascii="宋体" w:hAnsi="宋体"/>
          <w:sz w:val="32"/>
          <w:szCs w:val="32"/>
        </w:rPr>
        <w:instrText xml:space="preserve"> PAGEREF _Toc476258756 \h </w:instrText>
      </w:r>
      <w:r>
        <w:rPr>
          <w:rFonts w:ascii="宋体" w:hAnsi="宋体"/>
          <w:sz w:val="32"/>
          <w:szCs w:val="32"/>
        </w:rPr>
        <w:fldChar w:fldCharType="separate"/>
      </w:r>
      <w:r>
        <w:rPr>
          <w:rFonts w:ascii="宋体" w:hAnsi="宋体"/>
          <w:sz w:val="32"/>
          <w:szCs w:val="32"/>
        </w:rPr>
        <w:t>2</w:t>
      </w:r>
      <w:r>
        <w:rPr>
          <w:rFonts w:ascii="宋体" w:hAnsi="宋体"/>
          <w:sz w:val="32"/>
          <w:szCs w:val="32"/>
        </w:rPr>
        <w:fldChar w:fldCharType="end"/>
      </w:r>
      <w:r>
        <w:rPr>
          <w:rFonts w:ascii="宋体" w:hAnsi="宋体"/>
          <w:sz w:val="32"/>
          <w:szCs w:val="32"/>
        </w:rPr>
        <w:fldChar w:fldCharType="end"/>
      </w:r>
    </w:p>
    <w:p w14:paraId="4E6CE87F">
      <w:pPr>
        <w:pStyle w:val="14"/>
        <w:tabs>
          <w:tab w:val="right" w:leader="dot" w:pos="9628"/>
        </w:tabs>
        <w:rPr>
          <w:rFonts w:ascii="宋体" w:hAnsi="宋体"/>
          <w:sz w:val="32"/>
          <w:szCs w:val="32"/>
        </w:rPr>
      </w:pPr>
      <w:r>
        <w:fldChar w:fldCharType="begin"/>
      </w:r>
      <w:r>
        <w:instrText xml:space="preserve"> HYPERLINK \l "_Toc476258757" </w:instrText>
      </w:r>
      <w:r>
        <w:fldChar w:fldCharType="separate"/>
      </w:r>
      <w:r>
        <w:rPr>
          <w:rStyle w:val="24"/>
          <w:rFonts w:hint="eastAsia" w:ascii="宋体" w:hAnsi="宋体"/>
          <w:color w:val="auto"/>
          <w:sz w:val="32"/>
          <w:szCs w:val="32"/>
        </w:rPr>
        <w:t>第二章</w:t>
      </w:r>
      <w:r>
        <w:rPr>
          <w:rStyle w:val="24"/>
          <w:rFonts w:ascii="宋体" w:hAnsi="宋体"/>
          <w:color w:val="auto"/>
          <w:sz w:val="32"/>
          <w:szCs w:val="32"/>
        </w:rPr>
        <w:t xml:space="preserve">  </w:t>
      </w:r>
      <w:r>
        <w:rPr>
          <w:rStyle w:val="24"/>
          <w:rFonts w:hint="eastAsia" w:ascii="宋体" w:hAnsi="宋体"/>
          <w:color w:val="auto"/>
          <w:sz w:val="32"/>
          <w:szCs w:val="32"/>
        </w:rPr>
        <w:t>磋商供应商须知</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_Toc476258757 \h </w:instrText>
      </w:r>
      <w:r>
        <w:rPr>
          <w:rFonts w:ascii="宋体" w:hAnsi="宋体"/>
          <w:sz w:val="32"/>
          <w:szCs w:val="32"/>
        </w:rPr>
        <w:fldChar w:fldCharType="separate"/>
      </w:r>
      <w:r>
        <w:rPr>
          <w:rFonts w:ascii="宋体" w:hAnsi="宋体"/>
          <w:sz w:val="32"/>
          <w:szCs w:val="32"/>
        </w:rPr>
        <w:t>5</w:t>
      </w:r>
      <w:r>
        <w:rPr>
          <w:rFonts w:ascii="宋体" w:hAnsi="宋体"/>
          <w:sz w:val="32"/>
          <w:szCs w:val="32"/>
        </w:rPr>
        <w:fldChar w:fldCharType="end"/>
      </w:r>
      <w:r>
        <w:rPr>
          <w:rFonts w:ascii="宋体" w:hAnsi="宋体"/>
          <w:sz w:val="32"/>
          <w:szCs w:val="32"/>
        </w:rPr>
        <w:fldChar w:fldCharType="end"/>
      </w:r>
    </w:p>
    <w:p w14:paraId="225379DF">
      <w:pPr>
        <w:pStyle w:val="14"/>
        <w:tabs>
          <w:tab w:val="right" w:leader="dot" w:pos="9628"/>
        </w:tabs>
        <w:rPr>
          <w:rFonts w:ascii="宋体" w:hAnsi="宋体"/>
          <w:sz w:val="32"/>
          <w:szCs w:val="32"/>
        </w:rPr>
      </w:pPr>
      <w:r>
        <w:fldChar w:fldCharType="begin"/>
      </w:r>
      <w:r>
        <w:instrText xml:space="preserve"> HYPERLINK \l "_Toc476258758" </w:instrText>
      </w:r>
      <w:r>
        <w:fldChar w:fldCharType="separate"/>
      </w:r>
      <w:r>
        <w:rPr>
          <w:rStyle w:val="24"/>
          <w:rFonts w:hint="eastAsia" w:ascii="宋体" w:hAnsi="宋体"/>
          <w:color w:val="auto"/>
          <w:sz w:val="32"/>
          <w:szCs w:val="32"/>
        </w:rPr>
        <w:t>第三章</w:t>
      </w:r>
      <w:r>
        <w:rPr>
          <w:rStyle w:val="24"/>
          <w:rFonts w:ascii="宋体" w:hAnsi="宋体"/>
          <w:color w:val="auto"/>
          <w:sz w:val="32"/>
          <w:szCs w:val="32"/>
        </w:rPr>
        <w:t xml:space="preserve">  </w:t>
      </w:r>
      <w:r>
        <w:rPr>
          <w:rStyle w:val="24"/>
          <w:rFonts w:hint="eastAsia" w:ascii="宋体" w:hAnsi="宋体"/>
          <w:color w:val="auto"/>
          <w:sz w:val="32"/>
          <w:szCs w:val="32"/>
        </w:rPr>
        <w:t>采</w:t>
      </w:r>
      <w:bookmarkStart w:id="3" w:name="_Hlt75732334"/>
      <w:r>
        <w:rPr>
          <w:rStyle w:val="24"/>
          <w:rFonts w:hint="eastAsia" w:ascii="宋体" w:hAnsi="宋体"/>
          <w:color w:val="auto"/>
          <w:sz w:val="32"/>
          <w:szCs w:val="32"/>
        </w:rPr>
        <w:t>购</w:t>
      </w:r>
      <w:bookmarkEnd w:id="3"/>
      <w:bookmarkStart w:id="4" w:name="_Hlt496918403"/>
      <w:bookmarkStart w:id="5" w:name="_Hlt496918402"/>
      <w:r>
        <w:rPr>
          <w:rStyle w:val="24"/>
          <w:rFonts w:hint="eastAsia" w:ascii="宋体" w:hAnsi="宋体"/>
          <w:color w:val="auto"/>
          <w:sz w:val="32"/>
          <w:szCs w:val="32"/>
        </w:rPr>
        <w:t>需</w:t>
      </w:r>
      <w:bookmarkEnd w:id="4"/>
      <w:bookmarkEnd w:id="5"/>
      <w:bookmarkStart w:id="6" w:name="_Hlt476673919"/>
      <w:bookmarkStart w:id="7" w:name="_Hlt476673918"/>
      <w:r>
        <w:rPr>
          <w:rStyle w:val="24"/>
          <w:rFonts w:hint="eastAsia" w:ascii="宋体" w:hAnsi="宋体"/>
          <w:color w:val="auto"/>
          <w:sz w:val="32"/>
          <w:szCs w:val="32"/>
        </w:rPr>
        <w:t>求</w:t>
      </w:r>
      <w:bookmarkEnd w:id="6"/>
      <w:bookmarkEnd w:id="7"/>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_Toc476258758 \h </w:instrText>
      </w:r>
      <w:r>
        <w:rPr>
          <w:rFonts w:ascii="宋体" w:hAnsi="宋体"/>
          <w:sz w:val="32"/>
          <w:szCs w:val="32"/>
        </w:rPr>
        <w:fldChar w:fldCharType="separate"/>
      </w:r>
      <w:r>
        <w:rPr>
          <w:rFonts w:ascii="宋体" w:hAnsi="宋体"/>
          <w:sz w:val="32"/>
          <w:szCs w:val="32"/>
        </w:rPr>
        <w:t>16</w:t>
      </w:r>
      <w:r>
        <w:rPr>
          <w:rFonts w:ascii="宋体" w:hAnsi="宋体"/>
          <w:sz w:val="32"/>
          <w:szCs w:val="32"/>
        </w:rPr>
        <w:fldChar w:fldCharType="end"/>
      </w:r>
      <w:r>
        <w:rPr>
          <w:rFonts w:ascii="宋体" w:hAnsi="宋体"/>
          <w:sz w:val="32"/>
          <w:szCs w:val="32"/>
        </w:rPr>
        <w:fldChar w:fldCharType="end"/>
      </w:r>
    </w:p>
    <w:p w14:paraId="51EEA29A">
      <w:pPr>
        <w:pStyle w:val="14"/>
        <w:tabs>
          <w:tab w:val="right" w:leader="dot" w:pos="9628"/>
        </w:tabs>
        <w:rPr>
          <w:rFonts w:ascii="宋体" w:hAnsi="宋体"/>
          <w:sz w:val="32"/>
          <w:szCs w:val="32"/>
        </w:rPr>
      </w:pPr>
      <w:r>
        <w:fldChar w:fldCharType="begin"/>
      </w:r>
      <w:r>
        <w:instrText xml:space="preserve"> HYPERLINK \l "_Toc476258759" </w:instrText>
      </w:r>
      <w:r>
        <w:fldChar w:fldCharType="separate"/>
      </w:r>
      <w:r>
        <w:rPr>
          <w:rStyle w:val="24"/>
          <w:rFonts w:hint="eastAsia" w:ascii="宋体" w:hAnsi="宋体"/>
          <w:color w:val="auto"/>
          <w:sz w:val="32"/>
          <w:szCs w:val="32"/>
        </w:rPr>
        <w:t>第四章</w:t>
      </w:r>
      <w:r>
        <w:rPr>
          <w:rStyle w:val="24"/>
          <w:rFonts w:ascii="宋体" w:hAnsi="宋体"/>
          <w:color w:val="auto"/>
          <w:sz w:val="32"/>
          <w:szCs w:val="32"/>
        </w:rPr>
        <w:t xml:space="preserve">  </w:t>
      </w:r>
      <w:r>
        <w:rPr>
          <w:rStyle w:val="24"/>
          <w:rFonts w:hint="eastAsia" w:ascii="宋体" w:hAnsi="宋体"/>
          <w:color w:val="auto"/>
          <w:sz w:val="32"/>
          <w:szCs w:val="32"/>
        </w:rPr>
        <w:t>竞争性磋商响应文件格式</w:t>
      </w:r>
      <w:bookmarkStart w:id="66" w:name="_GoBack"/>
      <w:bookmarkEnd w:id="66"/>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_Toc476258759 \h </w:instrText>
      </w:r>
      <w:r>
        <w:rPr>
          <w:rFonts w:ascii="宋体" w:hAnsi="宋体"/>
          <w:sz w:val="32"/>
          <w:szCs w:val="32"/>
        </w:rPr>
        <w:fldChar w:fldCharType="separate"/>
      </w:r>
      <w:r>
        <w:rPr>
          <w:rFonts w:ascii="宋体" w:hAnsi="宋体"/>
          <w:sz w:val="32"/>
          <w:szCs w:val="32"/>
        </w:rPr>
        <w:t>20</w:t>
      </w:r>
      <w:r>
        <w:rPr>
          <w:rFonts w:ascii="宋体" w:hAnsi="宋体"/>
          <w:sz w:val="32"/>
          <w:szCs w:val="32"/>
        </w:rPr>
        <w:fldChar w:fldCharType="end"/>
      </w:r>
      <w:r>
        <w:rPr>
          <w:rFonts w:ascii="宋体" w:hAnsi="宋体"/>
          <w:sz w:val="32"/>
          <w:szCs w:val="32"/>
        </w:rPr>
        <w:fldChar w:fldCharType="end"/>
      </w:r>
    </w:p>
    <w:p w14:paraId="22840408">
      <w:pPr>
        <w:pStyle w:val="14"/>
        <w:tabs>
          <w:tab w:val="right" w:leader="dot" w:pos="9628"/>
        </w:tabs>
        <w:rPr>
          <w:rFonts w:ascii="宋体" w:hAnsi="宋体"/>
          <w:sz w:val="32"/>
          <w:szCs w:val="32"/>
        </w:rPr>
      </w:pPr>
      <w:r>
        <w:fldChar w:fldCharType="begin"/>
      </w:r>
      <w:r>
        <w:instrText xml:space="preserve"> HYPERLINK \l "_Toc476258760" </w:instrText>
      </w:r>
      <w:r>
        <w:fldChar w:fldCharType="separate"/>
      </w:r>
      <w:r>
        <w:rPr>
          <w:rStyle w:val="24"/>
          <w:rFonts w:hint="eastAsia" w:ascii="宋体" w:hAnsi="宋体"/>
          <w:color w:val="auto"/>
          <w:kern w:val="0"/>
          <w:sz w:val="32"/>
          <w:szCs w:val="32"/>
        </w:rPr>
        <w:t>第五章</w:t>
      </w:r>
      <w:r>
        <w:rPr>
          <w:rStyle w:val="24"/>
          <w:rFonts w:ascii="宋体" w:hAnsi="宋体"/>
          <w:color w:val="auto"/>
          <w:kern w:val="0"/>
          <w:sz w:val="32"/>
          <w:szCs w:val="32"/>
        </w:rPr>
        <w:t xml:space="preserve">  </w:t>
      </w:r>
      <w:r>
        <w:rPr>
          <w:rStyle w:val="24"/>
          <w:rFonts w:hint="eastAsia" w:ascii="宋体" w:hAnsi="宋体"/>
          <w:color w:val="auto"/>
          <w:kern w:val="0"/>
          <w:sz w:val="32"/>
          <w:szCs w:val="32"/>
        </w:rPr>
        <w:t>合同主要条款</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_Toc476258760 \h </w:instrText>
      </w:r>
      <w:r>
        <w:rPr>
          <w:rFonts w:ascii="宋体" w:hAnsi="宋体"/>
          <w:sz w:val="32"/>
          <w:szCs w:val="32"/>
        </w:rPr>
        <w:fldChar w:fldCharType="separate"/>
      </w:r>
      <w:r>
        <w:rPr>
          <w:rFonts w:ascii="宋体" w:hAnsi="宋体"/>
          <w:sz w:val="32"/>
          <w:szCs w:val="32"/>
        </w:rPr>
        <w:t>29</w:t>
      </w:r>
      <w:r>
        <w:rPr>
          <w:rFonts w:ascii="宋体" w:hAnsi="宋体"/>
          <w:sz w:val="32"/>
          <w:szCs w:val="32"/>
        </w:rPr>
        <w:fldChar w:fldCharType="end"/>
      </w:r>
      <w:r>
        <w:rPr>
          <w:rFonts w:ascii="宋体" w:hAnsi="宋体"/>
          <w:sz w:val="32"/>
          <w:szCs w:val="32"/>
        </w:rPr>
        <w:fldChar w:fldCharType="end"/>
      </w:r>
    </w:p>
    <w:p w14:paraId="5FC96C2A">
      <w:pPr>
        <w:pStyle w:val="14"/>
        <w:tabs>
          <w:tab w:val="right" w:leader="dot" w:pos="9628"/>
        </w:tabs>
        <w:rPr>
          <w:rFonts w:ascii="宋体" w:hAnsi="宋体"/>
          <w:sz w:val="32"/>
          <w:szCs w:val="32"/>
        </w:rPr>
      </w:pPr>
      <w:r>
        <w:fldChar w:fldCharType="begin"/>
      </w:r>
      <w:r>
        <w:instrText xml:space="preserve"> HYPERLINK \l "_Toc476258761" </w:instrText>
      </w:r>
      <w:r>
        <w:fldChar w:fldCharType="separate"/>
      </w:r>
      <w:r>
        <w:rPr>
          <w:rStyle w:val="24"/>
          <w:rFonts w:hint="eastAsia" w:ascii="宋体" w:hAnsi="宋体"/>
          <w:color w:val="auto"/>
          <w:kern w:val="0"/>
          <w:sz w:val="32"/>
          <w:szCs w:val="32"/>
        </w:rPr>
        <w:t>第六章</w:t>
      </w:r>
      <w:r>
        <w:rPr>
          <w:rStyle w:val="24"/>
          <w:rFonts w:ascii="宋体" w:hAnsi="宋体"/>
          <w:color w:val="auto"/>
          <w:kern w:val="0"/>
          <w:sz w:val="32"/>
          <w:szCs w:val="32"/>
        </w:rPr>
        <w:t xml:space="preserve">  </w:t>
      </w:r>
      <w:r>
        <w:rPr>
          <w:rStyle w:val="24"/>
          <w:rFonts w:hint="eastAsia" w:ascii="宋体" w:hAnsi="宋体"/>
          <w:color w:val="auto"/>
          <w:kern w:val="0"/>
          <w:sz w:val="32"/>
          <w:szCs w:val="32"/>
        </w:rPr>
        <w:t>评标标</w:t>
      </w:r>
      <w:bookmarkStart w:id="8" w:name="_Hlt514850011"/>
      <w:bookmarkStart w:id="9" w:name="_Hlt514850010"/>
      <w:r>
        <w:rPr>
          <w:rStyle w:val="24"/>
          <w:rFonts w:hint="eastAsia" w:ascii="宋体" w:hAnsi="宋体"/>
          <w:color w:val="auto"/>
          <w:kern w:val="0"/>
          <w:sz w:val="32"/>
          <w:szCs w:val="32"/>
        </w:rPr>
        <w:t>准</w:t>
      </w:r>
      <w:bookmarkEnd w:id="8"/>
      <w:bookmarkEnd w:id="9"/>
      <w:r>
        <w:rPr>
          <w:rFonts w:ascii="宋体" w:hAnsi="宋体"/>
          <w:sz w:val="32"/>
          <w:szCs w:val="32"/>
        </w:rPr>
        <w:tab/>
      </w:r>
      <w:bookmarkStart w:id="10" w:name="_Hlt507802345"/>
      <w:bookmarkStart w:id="11" w:name="_Hlt507802346"/>
      <w:r>
        <w:rPr>
          <w:rFonts w:ascii="宋体" w:hAnsi="宋体"/>
          <w:sz w:val="32"/>
          <w:szCs w:val="32"/>
        </w:rPr>
        <w:fldChar w:fldCharType="begin"/>
      </w:r>
      <w:r>
        <w:rPr>
          <w:rFonts w:ascii="宋体" w:hAnsi="宋体"/>
          <w:sz w:val="32"/>
          <w:szCs w:val="32"/>
        </w:rPr>
        <w:instrText xml:space="preserve"> PAGEREF _Toc476258761 \h </w:instrText>
      </w:r>
      <w:r>
        <w:rPr>
          <w:rFonts w:ascii="宋体" w:hAnsi="宋体"/>
          <w:sz w:val="32"/>
          <w:szCs w:val="32"/>
        </w:rPr>
        <w:fldChar w:fldCharType="separate"/>
      </w:r>
      <w:r>
        <w:rPr>
          <w:rFonts w:ascii="宋体" w:hAnsi="宋体"/>
          <w:sz w:val="32"/>
          <w:szCs w:val="32"/>
        </w:rPr>
        <w:t>36</w:t>
      </w:r>
      <w:r>
        <w:rPr>
          <w:rFonts w:ascii="宋体" w:hAnsi="宋体"/>
          <w:sz w:val="32"/>
          <w:szCs w:val="32"/>
        </w:rPr>
        <w:fldChar w:fldCharType="end"/>
      </w:r>
      <w:bookmarkEnd w:id="10"/>
      <w:bookmarkEnd w:id="11"/>
      <w:r>
        <w:rPr>
          <w:rFonts w:ascii="宋体" w:hAnsi="宋体"/>
          <w:sz w:val="32"/>
          <w:szCs w:val="32"/>
        </w:rPr>
        <w:fldChar w:fldCharType="end"/>
      </w:r>
    </w:p>
    <w:p w14:paraId="240A33F2">
      <w:pPr>
        <w:spacing w:line="400" w:lineRule="exact"/>
        <w:jc w:val="center"/>
        <w:rPr>
          <w:rFonts w:ascii="仿宋_GB2312" w:hAnsi="宋体" w:eastAsia="仿宋_GB2312"/>
          <w:b/>
          <w:sz w:val="32"/>
          <w:szCs w:val="32"/>
        </w:rPr>
      </w:pPr>
      <w:r>
        <w:rPr>
          <w:rFonts w:ascii="仿宋_GB2312" w:hAnsi="宋体" w:eastAsia="仿宋_GB2312"/>
          <w:b/>
          <w:sz w:val="32"/>
          <w:szCs w:val="32"/>
        </w:rPr>
        <w:fldChar w:fldCharType="end"/>
      </w:r>
    </w:p>
    <w:p w14:paraId="7463EC24">
      <w:pPr>
        <w:spacing w:line="400" w:lineRule="exact"/>
        <w:jc w:val="center"/>
        <w:rPr>
          <w:rFonts w:ascii="仿宋_GB2312" w:hAnsi="宋体" w:eastAsia="仿宋_GB2312"/>
          <w:b/>
          <w:sz w:val="32"/>
          <w:szCs w:val="32"/>
        </w:rPr>
      </w:pPr>
    </w:p>
    <w:p w14:paraId="0327F5EB">
      <w:pPr>
        <w:spacing w:line="400" w:lineRule="exact"/>
        <w:jc w:val="center"/>
        <w:rPr>
          <w:rFonts w:ascii="仿宋_GB2312" w:hAnsi="宋体" w:eastAsia="仿宋_GB2312"/>
          <w:b/>
          <w:sz w:val="32"/>
          <w:szCs w:val="32"/>
        </w:rPr>
      </w:pPr>
    </w:p>
    <w:p w14:paraId="1582D1C5">
      <w:pPr>
        <w:spacing w:line="400" w:lineRule="exact"/>
        <w:jc w:val="center"/>
        <w:rPr>
          <w:rFonts w:ascii="仿宋_GB2312" w:hAnsi="宋体" w:eastAsia="仿宋_GB2312"/>
          <w:b/>
          <w:sz w:val="32"/>
          <w:szCs w:val="32"/>
        </w:rPr>
      </w:pPr>
    </w:p>
    <w:p w14:paraId="4DA19750">
      <w:pPr>
        <w:spacing w:line="400" w:lineRule="exact"/>
        <w:jc w:val="center"/>
        <w:rPr>
          <w:rFonts w:ascii="仿宋_GB2312" w:hAnsi="宋体" w:eastAsia="仿宋_GB2312"/>
          <w:b/>
          <w:sz w:val="32"/>
          <w:szCs w:val="32"/>
        </w:rPr>
      </w:pPr>
    </w:p>
    <w:p w14:paraId="67B33C1F">
      <w:pPr>
        <w:spacing w:line="400" w:lineRule="exact"/>
        <w:jc w:val="center"/>
        <w:rPr>
          <w:rFonts w:ascii="仿宋_GB2312" w:hAnsi="宋体" w:eastAsia="仿宋_GB2312"/>
          <w:b/>
          <w:sz w:val="32"/>
          <w:szCs w:val="32"/>
        </w:rPr>
      </w:pPr>
    </w:p>
    <w:p w14:paraId="4CA90446">
      <w:pPr>
        <w:spacing w:line="400" w:lineRule="exact"/>
        <w:jc w:val="center"/>
        <w:rPr>
          <w:rFonts w:ascii="仿宋_GB2312" w:hAnsi="宋体" w:eastAsia="仿宋_GB2312"/>
          <w:b/>
          <w:sz w:val="32"/>
          <w:szCs w:val="32"/>
        </w:rPr>
      </w:pPr>
    </w:p>
    <w:p w14:paraId="431641BB">
      <w:pPr>
        <w:spacing w:line="400" w:lineRule="exact"/>
        <w:jc w:val="center"/>
        <w:rPr>
          <w:rFonts w:ascii="仿宋_GB2312" w:hAnsi="宋体" w:eastAsia="仿宋_GB2312"/>
          <w:b/>
          <w:sz w:val="32"/>
          <w:szCs w:val="32"/>
        </w:rPr>
      </w:pPr>
    </w:p>
    <w:p w14:paraId="1FE4F807">
      <w:pPr>
        <w:spacing w:line="400" w:lineRule="exact"/>
        <w:jc w:val="center"/>
        <w:rPr>
          <w:rFonts w:ascii="仿宋_GB2312" w:hAnsi="宋体" w:eastAsia="仿宋_GB2312"/>
          <w:b/>
          <w:sz w:val="32"/>
          <w:szCs w:val="32"/>
        </w:rPr>
      </w:pPr>
    </w:p>
    <w:p w14:paraId="28698450">
      <w:pPr>
        <w:spacing w:line="400" w:lineRule="exact"/>
        <w:jc w:val="center"/>
        <w:rPr>
          <w:rFonts w:ascii="仿宋_GB2312" w:hAnsi="宋体" w:eastAsia="仿宋_GB2312"/>
          <w:b/>
          <w:sz w:val="32"/>
          <w:szCs w:val="32"/>
        </w:rPr>
      </w:pPr>
    </w:p>
    <w:p w14:paraId="4EC82F62">
      <w:pPr>
        <w:spacing w:line="400" w:lineRule="exact"/>
        <w:jc w:val="center"/>
        <w:rPr>
          <w:rFonts w:ascii="仿宋_GB2312" w:hAnsi="宋体" w:eastAsia="仿宋_GB2312"/>
          <w:b/>
          <w:sz w:val="32"/>
          <w:szCs w:val="32"/>
        </w:rPr>
      </w:pPr>
    </w:p>
    <w:p w14:paraId="6FCB6D7E">
      <w:pPr>
        <w:spacing w:line="400" w:lineRule="exact"/>
        <w:jc w:val="center"/>
        <w:rPr>
          <w:rFonts w:ascii="仿宋_GB2312" w:hAnsi="宋体" w:eastAsia="仿宋_GB2312"/>
          <w:b/>
          <w:sz w:val="32"/>
          <w:szCs w:val="32"/>
        </w:rPr>
      </w:pPr>
    </w:p>
    <w:p w14:paraId="05172493">
      <w:pPr>
        <w:spacing w:line="400" w:lineRule="exact"/>
        <w:jc w:val="center"/>
        <w:rPr>
          <w:rFonts w:ascii="黑体" w:hAnsi="宋体" w:eastAsia="黑体"/>
          <w:b/>
          <w:sz w:val="32"/>
          <w:szCs w:val="32"/>
        </w:rPr>
      </w:pPr>
    </w:p>
    <w:p w14:paraId="1DBF3086">
      <w:pPr>
        <w:spacing w:line="400" w:lineRule="exact"/>
        <w:jc w:val="center"/>
        <w:rPr>
          <w:rFonts w:ascii="黑体" w:hAnsi="宋体" w:eastAsia="黑体"/>
          <w:b/>
          <w:sz w:val="32"/>
          <w:szCs w:val="32"/>
        </w:rPr>
      </w:pPr>
    </w:p>
    <w:p w14:paraId="71517A9F">
      <w:pPr>
        <w:spacing w:line="400" w:lineRule="exact"/>
        <w:jc w:val="center"/>
        <w:rPr>
          <w:rFonts w:ascii="黑体" w:hAnsi="宋体" w:eastAsia="黑体"/>
          <w:b/>
          <w:sz w:val="32"/>
          <w:szCs w:val="32"/>
        </w:rPr>
      </w:pPr>
    </w:p>
    <w:p w14:paraId="5F098F58">
      <w:pPr>
        <w:spacing w:line="400" w:lineRule="exact"/>
        <w:jc w:val="center"/>
        <w:rPr>
          <w:rFonts w:ascii="黑体" w:hAnsi="宋体" w:eastAsia="黑体"/>
          <w:b/>
          <w:sz w:val="32"/>
          <w:szCs w:val="32"/>
        </w:rPr>
      </w:pPr>
    </w:p>
    <w:p w14:paraId="782C12BD">
      <w:pPr>
        <w:spacing w:line="400" w:lineRule="exact"/>
        <w:jc w:val="center"/>
        <w:rPr>
          <w:rFonts w:ascii="黑体" w:hAnsi="宋体" w:eastAsia="黑体"/>
          <w:b/>
          <w:sz w:val="32"/>
          <w:szCs w:val="32"/>
        </w:rPr>
      </w:pPr>
    </w:p>
    <w:p w14:paraId="70F6E6B6">
      <w:pPr>
        <w:spacing w:line="400" w:lineRule="exact"/>
        <w:jc w:val="center"/>
        <w:rPr>
          <w:rFonts w:ascii="黑体" w:hAnsi="宋体" w:eastAsia="黑体"/>
          <w:b/>
          <w:sz w:val="32"/>
          <w:szCs w:val="32"/>
        </w:rPr>
      </w:pPr>
    </w:p>
    <w:p w14:paraId="6A0A2D5A">
      <w:pPr>
        <w:spacing w:line="400" w:lineRule="exact"/>
        <w:jc w:val="center"/>
        <w:rPr>
          <w:rFonts w:ascii="黑体" w:hAnsi="宋体" w:eastAsia="黑体"/>
          <w:b/>
          <w:sz w:val="32"/>
          <w:szCs w:val="32"/>
        </w:rPr>
      </w:pPr>
    </w:p>
    <w:p w14:paraId="1616004E">
      <w:pPr>
        <w:spacing w:line="400" w:lineRule="exact"/>
        <w:jc w:val="center"/>
        <w:rPr>
          <w:rFonts w:ascii="黑体" w:hAnsi="宋体" w:eastAsia="黑体"/>
          <w:b/>
          <w:sz w:val="32"/>
          <w:szCs w:val="32"/>
        </w:rPr>
      </w:pPr>
    </w:p>
    <w:p w14:paraId="59DA7135">
      <w:pPr>
        <w:spacing w:line="400" w:lineRule="exact"/>
        <w:jc w:val="center"/>
        <w:rPr>
          <w:rFonts w:ascii="黑体" w:hAnsi="宋体" w:eastAsia="黑体"/>
          <w:b/>
          <w:sz w:val="32"/>
          <w:szCs w:val="32"/>
        </w:rPr>
      </w:pPr>
    </w:p>
    <w:p w14:paraId="42892184">
      <w:pPr>
        <w:spacing w:line="400" w:lineRule="exact"/>
        <w:jc w:val="center"/>
        <w:rPr>
          <w:rFonts w:ascii="宋体" w:hAnsi="宋体"/>
          <w:b/>
          <w:sz w:val="32"/>
          <w:szCs w:val="32"/>
        </w:rPr>
      </w:pPr>
    </w:p>
    <w:p w14:paraId="2932C8CB">
      <w:pPr>
        <w:spacing w:line="400" w:lineRule="exact"/>
        <w:jc w:val="center"/>
        <w:rPr>
          <w:rFonts w:ascii="宋体" w:hAnsi="宋体"/>
          <w:b/>
          <w:sz w:val="32"/>
          <w:szCs w:val="32"/>
        </w:rPr>
      </w:pPr>
    </w:p>
    <w:p w14:paraId="2C66D3FC">
      <w:pPr>
        <w:spacing w:line="400" w:lineRule="exact"/>
        <w:jc w:val="center"/>
        <w:rPr>
          <w:rFonts w:ascii="宋体" w:hAnsi="宋体"/>
          <w:b/>
          <w:sz w:val="32"/>
          <w:szCs w:val="32"/>
        </w:rPr>
      </w:pPr>
    </w:p>
    <w:p w14:paraId="4B30233C">
      <w:pPr>
        <w:spacing w:line="400" w:lineRule="exact"/>
        <w:jc w:val="center"/>
        <w:rPr>
          <w:rFonts w:ascii="宋体" w:hAnsi="宋体"/>
          <w:b/>
          <w:sz w:val="32"/>
          <w:szCs w:val="32"/>
        </w:rPr>
      </w:pPr>
    </w:p>
    <w:p w14:paraId="39E85964">
      <w:pPr>
        <w:spacing w:line="400" w:lineRule="exact"/>
        <w:jc w:val="center"/>
        <w:rPr>
          <w:rFonts w:ascii="宋体" w:hAnsi="宋体"/>
          <w:b/>
          <w:sz w:val="32"/>
          <w:szCs w:val="32"/>
        </w:rPr>
      </w:pPr>
    </w:p>
    <w:p w14:paraId="171020DA">
      <w:pPr>
        <w:spacing w:line="400" w:lineRule="exact"/>
        <w:jc w:val="center"/>
        <w:rPr>
          <w:rFonts w:ascii="宋体" w:hAnsi="宋体"/>
          <w:b/>
          <w:sz w:val="32"/>
          <w:szCs w:val="32"/>
        </w:rPr>
      </w:pPr>
    </w:p>
    <w:p w14:paraId="1171138F">
      <w:pPr>
        <w:spacing w:line="400" w:lineRule="exact"/>
        <w:jc w:val="center"/>
        <w:rPr>
          <w:rFonts w:ascii="宋体" w:hAnsi="宋体"/>
          <w:b/>
          <w:sz w:val="32"/>
          <w:szCs w:val="32"/>
        </w:rPr>
      </w:pPr>
    </w:p>
    <w:p w14:paraId="746EFF12">
      <w:pPr>
        <w:spacing w:line="400" w:lineRule="exact"/>
        <w:jc w:val="center"/>
        <w:rPr>
          <w:rFonts w:ascii="宋体" w:hAnsi="宋体"/>
          <w:b/>
          <w:sz w:val="32"/>
          <w:szCs w:val="32"/>
        </w:rPr>
      </w:pPr>
    </w:p>
    <w:p w14:paraId="111A24B9">
      <w:pPr>
        <w:spacing w:line="400" w:lineRule="exact"/>
        <w:jc w:val="center"/>
        <w:rPr>
          <w:rFonts w:ascii="宋体" w:hAnsi="宋体"/>
          <w:b/>
          <w:sz w:val="32"/>
          <w:szCs w:val="32"/>
        </w:rPr>
      </w:pPr>
    </w:p>
    <w:p w14:paraId="7A3AA37B">
      <w:pPr>
        <w:spacing w:line="400" w:lineRule="exact"/>
        <w:jc w:val="center"/>
        <w:rPr>
          <w:rFonts w:ascii="宋体" w:hAnsi="宋体"/>
          <w:b/>
          <w:sz w:val="32"/>
          <w:szCs w:val="32"/>
        </w:rPr>
      </w:pPr>
    </w:p>
    <w:p w14:paraId="156CB7DC">
      <w:pPr>
        <w:spacing w:line="400" w:lineRule="exact"/>
        <w:jc w:val="center"/>
        <w:rPr>
          <w:rFonts w:ascii="宋体" w:hAnsi="宋体"/>
          <w:b/>
          <w:sz w:val="32"/>
          <w:szCs w:val="32"/>
        </w:rPr>
      </w:pPr>
    </w:p>
    <w:p w14:paraId="4E0DCACE">
      <w:pPr>
        <w:pStyle w:val="11"/>
        <w:rPr>
          <w:rFonts w:ascii="宋体" w:hAnsi="宋体"/>
          <w:b/>
          <w:szCs w:val="32"/>
        </w:rPr>
      </w:pPr>
    </w:p>
    <w:p w14:paraId="7BDDE90A">
      <w:pPr>
        <w:pStyle w:val="11"/>
        <w:ind w:firstLine="0"/>
        <w:rPr>
          <w:rFonts w:ascii="宋体" w:hAnsi="宋体"/>
          <w:b/>
          <w:szCs w:val="32"/>
        </w:rPr>
      </w:pPr>
    </w:p>
    <w:p w14:paraId="6B72D95B">
      <w:pPr>
        <w:spacing w:line="400" w:lineRule="exact"/>
        <w:rPr>
          <w:rFonts w:ascii="宋体" w:hAnsi="宋体"/>
          <w:b/>
          <w:sz w:val="32"/>
          <w:szCs w:val="32"/>
        </w:rPr>
      </w:pPr>
    </w:p>
    <w:p w14:paraId="646511B3">
      <w:pPr>
        <w:pStyle w:val="17"/>
        <w:rPr>
          <w:sz w:val="44"/>
          <w:szCs w:val="44"/>
        </w:rPr>
      </w:pPr>
      <w:bookmarkStart w:id="12" w:name="_Toc476258662"/>
      <w:bookmarkStart w:id="13" w:name="_Toc476258756"/>
      <w:r>
        <w:rPr>
          <w:rFonts w:hint="eastAsia"/>
          <w:sz w:val="44"/>
          <w:szCs w:val="44"/>
        </w:rPr>
        <w:t>第一章  竞争性磋商公告</w:t>
      </w:r>
      <w:bookmarkEnd w:id="12"/>
      <w:bookmarkEnd w:id="13"/>
    </w:p>
    <w:p w14:paraId="096CD6AC">
      <w:pPr>
        <w:jc w:val="center"/>
        <w:rPr>
          <w:rFonts w:ascii="华文新魏" w:hAnsi="宋体" w:eastAsia="华文新魏"/>
          <w:sz w:val="44"/>
          <w:szCs w:val="44"/>
        </w:rPr>
      </w:pPr>
      <w:r>
        <w:rPr>
          <w:rFonts w:ascii="华文新魏" w:hAnsi="宋体" w:eastAsia="华文新魏"/>
          <w:sz w:val="44"/>
          <w:szCs w:val="44"/>
        </w:rPr>
        <w:br w:type="page"/>
      </w:r>
    </w:p>
    <w:p w14:paraId="04683D42">
      <w:pPr>
        <w:jc w:val="center"/>
        <w:rPr>
          <w:rFonts w:ascii="华文新魏" w:hAnsi="宋体" w:eastAsia="华文新魏"/>
          <w:sz w:val="44"/>
          <w:szCs w:val="44"/>
        </w:rPr>
      </w:pPr>
      <w:r>
        <w:rPr>
          <w:rFonts w:hint="eastAsia" w:ascii="华文新魏" w:hAnsi="宋体" w:eastAsia="华文新魏"/>
          <w:sz w:val="44"/>
          <w:szCs w:val="44"/>
        </w:rPr>
        <w:t>广西国力招标有限公司</w:t>
      </w:r>
    </w:p>
    <w:p w14:paraId="67C7B10F">
      <w:pPr>
        <w:spacing w:line="600" w:lineRule="exact"/>
        <w:jc w:val="center"/>
        <w:rPr>
          <w:rFonts w:hint="eastAsia" w:ascii="华文新魏" w:hAnsi="宋体" w:eastAsia="华文新魏"/>
          <w:sz w:val="44"/>
          <w:szCs w:val="44"/>
        </w:rPr>
      </w:pPr>
      <w:r>
        <w:rPr>
          <w:rFonts w:hint="eastAsia" w:ascii="华文新魏" w:hAnsi="宋体" w:eastAsia="华文新魏"/>
          <w:sz w:val="44"/>
          <w:szCs w:val="44"/>
        </w:rPr>
        <w:t>竞争性磋商公告</w:t>
      </w:r>
    </w:p>
    <w:p w14:paraId="775ED00E">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pacing w:line="360" w:lineRule="exact"/>
        <w:textAlignment w:val="auto"/>
        <w:rPr>
          <w:rFonts w:hint="eastAsia" w:ascii="宋体" w:hAnsi="宋体" w:eastAsia="宋体" w:cs="宋体"/>
          <w:color w:val="auto"/>
          <w:szCs w:val="21"/>
        </w:rPr>
      </w:pPr>
      <w:r>
        <w:rPr>
          <w:rFonts w:hint="eastAsia" w:ascii="宋体" w:hAnsi="宋体" w:eastAsia="宋体" w:cs="宋体"/>
          <w:szCs w:val="21"/>
        </w:rPr>
        <w:t>项目概况</w:t>
      </w:r>
    </w:p>
    <w:p w14:paraId="7F79B003">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u w:val="single"/>
          <w:lang w:eastAsia="zh-CN"/>
        </w:rPr>
        <w:t>南宁市2025年公办普惠托育机构能力提升项目</w:t>
      </w:r>
      <w:r>
        <w:rPr>
          <w:rFonts w:hint="eastAsia" w:ascii="宋体" w:hAnsi="宋体" w:eastAsia="宋体" w:cs="宋体"/>
          <w:color w:val="auto"/>
          <w:szCs w:val="21"/>
        </w:rPr>
        <w:t>的潜在供应商应在</w:t>
      </w:r>
      <w:r>
        <w:rPr>
          <w:rFonts w:hint="eastAsia" w:ascii="宋体" w:hAnsi="宋体" w:eastAsia="宋体" w:cs="宋体"/>
          <w:color w:val="auto"/>
          <w:szCs w:val="21"/>
          <w:u w:val="single"/>
        </w:rPr>
        <w:t>广西南宁市白沙大道53号松宇时代13楼广西国力招标有限公司财务室</w:t>
      </w:r>
      <w:r>
        <w:rPr>
          <w:rFonts w:hint="eastAsia" w:ascii="宋体" w:hAnsi="宋体" w:eastAsia="宋体" w:cs="宋体"/>
          <w:color w:val="auto"/>
          <w:szCs w:val="21"/>
        </w:rPr>
        <w:t>获取采购文件，并于</w:t>
      </w:r>
      <w:r>
        <w:rPr>
          <w:rFonts w:hint="eastAsia" w:ascii="宋体" w:hAnsi="宋体" w:eastAsia="宋体" w:cs="宋体"/>
          <w:color w:val="auto"/>
          <w:szCs w:val="21"/>
          <w:u w:val="single"/>
        </w:rPr>
        <w:t>202</w:t>
      </w:r>
      <w:r>
        <w:rPr>
          <w:rFonts w:hint="eastAsia" w:ascii="宋体" w:hAnsi="宋体" w:eastAsia="宋体" w:cs="宋体"/>
          <w:color w:val="auto"/>
          <w:szCs w:val="21"/>
          <w:u w:val="single"/>
          <w:lang w:val="en-US" w:eastAsia="zh-CN"/>
        </w:rPr>
        <w:t>5</w:t>
      </w:r>
      <w:r>
        <w:rPr>
          <w:rFonts w:hint="eastAsia" w:ascii="宋体" w:hAnsi="宋体" w:eastAsia="宋体" w:cs="宋体"/>
          <w:color w:val="auto"/>
          <w:szCs w:val="21"/>
          <w:u w:val="single"/>
        </w:rPr>
        <w:t>年</w:t>
      </w:r>
      <w:r>
        <w:rPr>
          <w:rFonts w:hint="eastAsia" w:ascii="宋体" w:hAnsi="宋体" w:cs="宋体"/>
          <w:color w:val="auto"/>
          <w:szCs w:val="21"/>
          <w:u w:val="single"/>
          <w:lang w:val="en-US" w:eastAsia="zh-CN"/>
        </w:rPr>
        <w:t>12</w:t>
      </w:r>
      <w:r>
        <w:rPr>
          <w:rFonts w:hint="eastAsia" w:ascii="宋体" w:hAnsi="宋体" w:eastAsia="宋体" w:cs="宋体"/>
          <w:bCs/>
          <w:color w:val="auto"/>
          <w:szCs w:val="21"/>
          <w:u w:val="single"/>
        </w:rPr>
        <w:t>月</w:t>
      </w:r>
      <w:r>
        <w:rPr>
          <w:rFonts w:hint="eastAsia" w:ascii="宋体" w:hAnsi="宋体" w:cs="宋体"/>
          <w:bCs/>
          <w:color w:val="auto"/>
          <w:szCs w:val="21"/>
          <w:u w:val="single"/>
          <w:lang w:val="en-US" w:eastAsia="zh-CN"/>
        </w:rPr>
        <w:t>5</w:t>
      </w:r>
      <w:r>
        <w:rPr>
          <w:rFonts w:hint="eastAsia" w:ascii="宋体" w:hAnsi="宋体" w:eastAsia="宋体" w:cs="宋体"/>
          <w:bCs/>
          <w:color w:val="auto"/>
          <w:szCs w:val="21"/>
          <w:u w:val="single"/>
        </w:rPr>
        <w:t>日</w:t>
      </w:r>
      <w:r>
        <w:rPr>
          <w:rFonts w:hint="eastAsia" w:ascii="宋体" w:hAnsi="宋体" w:cs="宋体"/>
          <w:bCs/>
          <w:color w:val="auto"/>
          <w:szCs w:val="21"/>
          <w:u w:val="single"/>
          <w:lang w:val="en-US" w:eastAsia="zh-CN"/>
        </w:rPr>
        <w:t>9</w:t>
      </w:r>
      <w:r>
        <w:rPr>
          <w:rFonts w:hint="eastAsia" w:ascii="宋体" w:hAnsi="宋体" w:eastAsia="宋体" w:cs="宋体"/>
          <w:bCs/>
          <w:color w:val="auto"/>
          <w:szCs w:val="21"/>
          <w:u w:val="single"/>
        </w:rPr>
        <w:t>点</w:t>
      </w:r>
      <w:r>
        <w:rPr>
          <w:rFonts w:hint="eastAsia" w:ascii="宋体" w:hAnsi="宋体" w:eastAsia="宋体" w:cs="宋体"/>
          <w:bCs/>
          <w:color w:val="auto"/>
          <w:szCs w:val="21"/>
          <w:u w:val="single"/>
          <w:lang w:val="en-US" w:eastAsia="zh-CN"/>
        </w:rPr>
        <w:t>30</w:t>
      </w:r>
      <w:r>
        <w:rPr>
          <w:rFonts w:hint="eastAsia" w:ascii="宋体" w:hAnsi="宋体" w:eastAsia="宋体" w:cs="宋体"/>
          <w:bCs/>
          <w:color w:val="auto"/>
          <w:szCs w:val="21"/>
          <w:u w:val="single"/>
        </w:rPr>
        <w:t>分</w:t>
      </w:r>
      <w:r>
        <w:rPr>
          <w:rFonts w:hint="eastAsia" w:ascii="宋体" w:hAnsi="宋体" w:eastAsia="宋体" w:cs="宋体"/>
          <w:bCs/>
          <w:color w:val="auto"/>
          <w:szCs w:val="21"/>
        </w:rPr>
        <w:t>（北京时间）前提交响应文件</w:t>
      </w:r>
      <w:r>
        <w:rPr>
          <w:rFonts w:hint="eastAsia" w:ascii="宋体" w:hAnsi="宋体" w:eastAsia="宋体" w:cs="宋体"/>
          <w:color w:val="auto"/>
          <w:szCs w:val="21"/>
        </w:rPr>
        <w:t>。</w:t>
      </w:r>
    </w:p>
    <w:p w14:paraId="552F0624">
      <w:pPr>
        <w:keepNext w:val="0"/>
        <w:keepLines w:val="0"/>
        <w:pageBreakBefore w:val="0"/>
        <w:widowControl w:val="0"/>
        <w:kinsoku/>
        <w:wordWrap/>
        <w:overflowPunct/>
        <w:topLinePunct w:val="0"/>
        <w:autoSpaceDE/>
        <w:autoSpaceDN/>
        <w:bidi w:val="0"/>
        <w:adjustRightInd/>
        <w:spacing w:line="360" w:lineRule="exact"/>
        <w:ind w:firstLine="422" w:firstLineChars="200"/>
        <w:textAlignment w:val="auto"/>
        <w:rPr>
          <w:rFonts w:hint="eastAsia" w:ascii="宋体" w:hAnsi="宋体" w:eastAsia="宋体" w:cs="宋体"/>
          <w:b/>
          <w:color w:val="auto"/>
        </w:rPr>
      </w:pPr>
      <w:bookmarkStart w:id="14" w:name="_Toc28359012"/>
      <w:bookmarkStart w:id="15" w:name="_Toc35393629"/>
      <w:bookmarkStart w:id="16" w:name="_Toc35393798"/>
      <w:bookmarkStart w:id="17" w:name="_Toc28359089"/>
      <w:r>
        <w:rPr>
          <w:rFonts w:hint="eastAsia" w:ascii="宋体" w:hAnsi="宋体" w:eastAsia="宋体" w:cs="宋体"/>
          <w:b/>
          <w:color w:val="auto"/>
        </w:rPr>
        <w:t>一、项目基本情况</w:t>
      </w:r>
      <w:bookmarkEnd w:id="14"/>
      <w:bookmarkEnd w:id="15"/>
      <w:bookmarkEnd w:id="16"/>
      <w:bookmarkEnd w:id="17"/>
    </w:p>
    <w:p w14:paraId="6A27D34F">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rPr>
        <w:t>1.项目编号：</w:t>
      </w:r>
      <w:r>
        <w:rPr>
          <w:rFonts w:hint="eastAsia" w:ascii="宋体" w:hAnsi="宋体" w:eastAsia="宋体" w:cs="宋体"/>
          <w:color w:val="auto"/>
          <w:lang w:eastAsia="zh-CN"/>
        </w:rPr>
        <w:t>GXGL2025S-C617-Z</w:t>
      </w:r>
    </w:p>
    <w:p w14:paraId="4B13C383">
      <w:pPr>
        <w:keepNext w:val="0"/>
        <w:keepLines w:val="0"/>
        <w:pageBreakBefore w:val="0"/>
        <w:widowControl w:val="0"/>
        <w:tabs>
          <w:tab w:val="left" w:pos="8794"/>
        </w:tabs>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color w:val="auto"/>
          <w:lang w:eastAsia="zh-CN"/>
        </w:rPr>
      </w:pPr>
      <w:r>
        <w:rPr>
          <w:rFonts w:hint="eastAsia" w:ascii="宋体" w:hAnsi="宋体" w:eastAsia="宋体" w:cs="宋体"/>
          <w:color w:val="auto"/>
        </w:rPr>
        <w:t>2.项目名称：</w:t>
      </w:r>
      <w:r>
        <w:rPr>
          <w:rFonts w:hint="eastAsia" w:ascii="宋体" w:hAnsi="宋体" w:eastAsia="宋体" w:cs="宋体"/>
          <w:color w:val="auto"/>
          <w:lang w:eastAsia="zh-CN"/>
        </w:rPr>
        <w:t>南宁市2025年公办普惠托育机构能力提升项目</w:t>
      </w:r>
    </w:p>
    <w:p w14:paraId="47A2FE99">
      <w:pPr>
        <w:keepNext w:val="0"/>
        <w:keepLines w:val="0"/>
        <w:pageBreakBefore w:val="0"/>
        <w:widowControl w:val="0"/>
        <w:tabs>
          <w:tab w:val="left" w:pos="8794"/>
        </w:tabs>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color w:val="auto"/>
        </w:rPr>
      </w:pPr>
      <w:r>
        <w:rPr>
          <w:rFonts w:hint="eastAsia" w:ascii="宋体" w:hAnsi="宋体" w:eastAsia="宋体" w:cs="宋体"/>
          <w:color w:val="auto"/>
        </w:rPr>
        <w:t>3.采购方式：竞争性磋商</w:t>
      </w:r>
      <w:r>
        <w:rPr>
          <w:rFonts w:hint="eastAsia" w:ascii="宋体" w:hAnsi="宋体" w:eastAsia="宋体" w:cs="宋体"/>
          <w:color w:val="auto"/>
        </w:rPr>
        <w:tab/>
      </w:r>
    </w:p>
    <w:p w14:paraId="7D821507">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color w:val="auto"/>
        </w:rPr>
      </w:pPr>
      <w:r>
        <w:rPr>
          <w:rFonts w:hint="eastAsia" w:ascii="宋体" w:hAnsi="宋体" w:eastAsia="宋体" w:cs="宋体"/>
          <w:color w:val="auto"/>
        </w:rPr>
        <w:t>4.预算金额：</w:t>
      </w:r>
      <w:r>
        <w:rPr>
          <w:rFonts w:hint="eastAsia" w:ascii="宋体" w:hAnsi="宋体" w:eastAsia="宋体" w:cs="宋体"/>
          <w:color w:val="auto"/>
          <w:lang w:val="en-US" w:eastAsia="zh-CN"/>
        </w:rPr>
        <w:t>30</w:t>
      </w:r>
      <w:r>
        <w:rPr>
          <w:rFonts w:hint="eastAsia" w:ascii="宋体" w:hAnsi="宋体" w:eastAsia="宋体" w:cs="宋体"/>
          <w:color w:val="auto"/>
        </w:rPr>
        <w:t>万元</w:t>
      </w:r>
    </w:p>
    <w:p w14:paraId="063731BC">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color w:val="auto"/>
        </w:rPr>
      </w:pPr>
      <w:r>
        <w:rPr>
          <w:rFonts w:hint="eastAsia" w:ascii="宋体" w:hAnsi="宋体" w:eastAsia="宋体" w:cs="宋体"/>
          <w:color w:val="auto"/>
        </w:rPr>
        <w:t>5.最高限价：</w:t>
      </w:r>
      <w:r>
        <w:rPr>
          <w:rFonts w:hint="eastAsia" w:ascii="宋体" w:hAnsi="宋体" w:eastAsia="宋体" w:cs="宋体"/>
          <w:color w:val="auto"/>
          <w:lang w:val="en-US" w:eastAsia="zh-CN"/>
        </w:rPr>
        <w:t>30</w:t>
      </w:r>
      <w:r>
        <w:rPr>
          <w:rFonts w:hint="eastAsia" w:ascii="宋体" w:hAnsi="宋体" w:eastAsia="宋体" w:cs="宋体"/>
          <w:color w:val="auto"/>
        </w:rPr>
        <w:t>万元</w:t>
      </w:r>
    </w:p>
    <w:p w14:paraId="7EA797E9">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color w:val="auto"/>
          <w:szCs w:val="21"/>
          <w:u w:val="single"/>
        </w:rPr>
      </w:pPr>
      <w:r>
        <w:rPr>
          <w:rFonts w:hint="eastAsia" w:ascii="宋体" w:hAnsi="宋体" w:eastAsia="宋体" w:cs="宋体"/>
          <w:color w:val="auto"/>
        </w:rPr>
        <w:t>6.采购需求：</w:t>
      </w:r>
      <w:r>
        <w:rPr>
          <w:rFonts w:hint="eastAsia" w:ascii="宋体" w:hAnsi="宋体" w:eastAsia="宋体" w:cs="宋体"/>
          <w:color w:val="auto"/>
          <w:szCs w:val="21"/>
          <w:lang w:eastAsia="zh-CN"/>
        </w:rPr>
        <w:t>南宁市2025年公办普惠托育机构能力提升</w:t>
      </w:r>
      <w:r>
        <w:rPr>
          <w:rFonts w:hint="eastAsia" w:ascii="宋体" w:hAnsi="宋体" w:eastAsia="宋体" w:cs="宋体"/>
          <w:color w:val="auto"/>
          <w:szCs w:val="21"/>
          <w:lang w:val="en-US" w:eastAsia="zh-CN"/>
        </w:rPr>
        <w:t>1项</w:t>
      </w:r>
      <w:r>
        <w:rPr>
          <w:rFonts w:hint="eastAsia" w:ascii="宋体" w:hAnsi="宋体" w:eastAsia="宋体" w:cs="宋体"/>
          <w:color w:val="auto"/>
          <w:kern w:val="0"/>
          <w:szCs w:val="21"/>
          <w:lang w:bidi="ar"/>
        </w:rPr>
        <w:t>。</w:t>
      </w:r>
      <w:r>
        <w:rPr>
          <w:rFonts w:hint="eastAsia" w:ascii="宋体" w:hAnsi="宋体" w:eastAsia="宋体" w:cs="宋体"/>
          <w:color w:val="auto"/>
          <w:szCs w:val="21"/>
        </w:rPr>
        <w:t>如需进一步了解详细内容，详见竞争性磋商文件。</w:t>
      </w:r>
    </w:p>
    <w:p w14:paraId="543BDE2B">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7.合同履行期限：</w:t>
      </w:r>
      <w:r>
        <w:rPr>
          <w:rFonts w:hint="eastAsia" w:ascii="宋体" w:hAnsi="宋体" w:eastAsia="宋体" w:cs="宋体"/>
          <w:color w:val="auto"/>
          <w:szCs w:val="21"/>
          <w:lang w:eastAsia="zh-CN"/>
        </w:rPr>
        <w:t>详见采购需求</w:t>
      </w:r>
      <w:r>
        <w:rPr>
          <w:rFonts w:hint="eastAsia" w:ascii="宋体" w:hAnsi="宋体" w:eastAsia="宋体" w:cs="宋体"/>
          <w:color w:val="auto"/>
          <w:szCs w:val="21"/>
        </w:rPr>
        <w:t xml:space="preserve">。 </w:t>
      </w:r>
    </w:p>
    <w:p w14:paraId="297E1BB4">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8.本项目不接受联合体。</w:t>
      </w:r>
    </w:p>
    <w:p w14:paraId="5F421D41">
      <w:pPr>
        <w:keepNext w:val="0"/>
        <w:keepLines w:val="0"/>
        <w:pageBreakBefore w:val="0"/>
        <w:widowControl w:val="0"/>
        <w:kinsoku/>
        <w:wordWrap/>
        <w:overflowPunct/>
        <w:topLinePunct w:val="0"/>
        <w:autoSpaceDE/>
        <w:autoSpaceDN/>
        <w:bidi w:val="0"/>
        <w:adjustRightInd/>
        <w:spacing w:line="360" w:lineRule="exact"/>
        <w:ind w:firstLine="422" w:firstLineChars="200"/>
        <w:textAlignment w:val="auto"/>
        <w:rPr>
          <w:rFonts w:hint="eastAsia" w:ascii="宋体" w:hAnsi="宋体" w:eastAsia="宋体" w:cs="宋体"/>
          <w:b/>
          <w:color w:val="auto"/>
          <w:highlight w:val="none"/>
        </w:rPr>
      </w:pPr>
      <w:bookmarkStart w:id="18" w:name="_Toc35393799"/>
      <w:bookmarkStart w:id="19" w:name="_Toc28359013"/>
      <w:bookmarkStart w:id="20" w:name="_Toc28359090"/>
      <w:bookmarkStart w:id="21" w:name="_Toc35393630"/>
      <w:r>
        <w:rPr>
          <w:rFonts w:hint="eastAsia" w:ascii="宋体" w:hAnsi="宋体" w:eastAsia="宋体" w:cs="宋体"/>
          <w:b/>
          <w:color w:val="auto"/>
          <w:highlight w:val="none"/>
        </w:rPr>
        <w:t>二、申请人的资格要求：</w:t>
      </w:r>
      <w:bookmarkEnd w:id="18"/>
      <w:bookmarkEnd w:id="19"/>
      <w:bookmarkEnd w:id="20"/>
      <w:bookmarkEnd w:id="21"/>
    </w:p>
    <w:p w14:paraId="22E6AEAE">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1.满足《中华人民共和国政府采购法》第二十二条规定</w:t>
      </w:r>
      <w:r>
        <w:rPr>
          <w:rFonts w:hint="eastAsia" w:ascii="宋体" w:hAnsi="宋体" w:eastAsia="宋体" w:cs="宋体"/>
          <w:color w:val="auto"/>
          <w:highlight w:val="none"/>
          <w:lang w:eastAsia="zh-CN"/>
        </w:rPr>
        <w:t>；</w:t>
      </w:r>
    </w:p>
    <w:p w14:paraId="7E5ED171">
      <w:pPr>
        <w:keepNext w:val="0"/>
        <w:keepLines w:val="0"/>
        <w:pageBreakBefore w:val="0"/>
        <w:widowControl w:val="0"/>
        <w:kinsoku/>
        <w:wordWrap/>
        <w:overflowPunct/>
        <w:topLinePunct w:val="0"/>
        <w:autoSpaceDE/>
        <w:autoSpaceDN/>
        <w:bidi w:val="0"/>
        <w:adjustRightInd/>
        <w:spacing w:line="360" w:lineRule="exact"/>
        <w:ind w:firstLine="420" w:firstLineChars="200"/>
        <w:jc w:val="left"/>
        <w:textAlignment w:val="auto"/>
        <w:rPr>
          <w:rFonts w:hint="eastAsia" w:ascii="宋体" w:hAnsi="宋体" w:eastAsia="宋体" w:cs="宋体"/>
          <w:color w:val="auto"/>
          <w:highlight w:val="none"/>
          <w:lang w:eastAsia="zh-CN"/>
        </w:rPr>
      </w:pPr>
      <w:bookmarkStart w:id="22" w:name="_Toc28359014"/>
      <w:bookmarkStart w:id="23" w:name="_Toc28359091"/>
      <w:r>
        <w:rPr>
          <w:rFonts w:hint="eastAsia" w:ascii="宋体" w:hAnsi="宋体" w:eastAsia="宋体" w:cs="宋体"/>
          <w:color w:val="auto"/>
          <w:highlight w:val="none"/>
        </w:rPr>
        <w:t>2.落实采购政策需满足的资格要求：本项目属于专门面向小微企业采购的项目：供应商须为</w:t>
      </w:r>
      <w:r>
        <w:rPr>
          <w:rFonts w:hint="eastAsia" w:ascii="宋体" w:hAnsi="宋体" w:cs="宋体"/>
          <w:color w:val="auto"/>
          <w:highlight w:val="none"/>
          <w:lang w:val="en-US" w:eastAsia="zh-CN"/>
        </w:rPr>
        <w:t>小型企业或微型</w:t>
      </w:r>
      <w:r>
        <w:rPr>
          <w:rFonts w:hint="eastAsia" w:ascii="宋体" w:hAnsi="宋体" w:eastAsia="宋体" w:cs="宋体"/>
          <w:color w:val="auto"/>
          <w:highlight w:val="none"/>
        </w:rPr>
        <w:t>企业（监狱企业、残疾人福利性单位视同小型、微型企业）</w:t>
      </w:r>
      <w:r>
        <w:rPr>
          <w:rFonts w:hint="eastAsia" w:ascii="宋体" w:hAnsi="宋体" w:eastAsia="宋体" w:cs="宋体"/>
          <w:color w:val="auto"/>
        </w:rPr>
        <w:t>；</w:t>
      </w:r>
    </w:p>
    <w:p w14:paraId="4184C187">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3.本项目的特定资格要求：</w:t>
      </w:r>
      <w:r>
        <w:rPr>
          <w:rFonts w:hint="eastAsia" w:ascii="宋体" w:hAnsi="宋体" w:eastAsia="宋体" w:cs="宋体"/>
          <w:color w:val="auto"/>
          <w:highlight w:val="none"/>
          <w:lang w:val="en-US" w:eastAsia="zh-CN"/>
        </w:rPr>
        <w:t>无</w:t>
      </w:r>
      <w:r>
        <w:rPr>
          <w:rFonts w:hint="eastAsia" w:ascii="宋体" w:hAnsi="宋体" w:eastAsia="宋体" w:cs="宋体"/>
          <w:color w:val="auto"/>
          <w:highlight w:val="none"/>
        </w:rPr>
        <w:t>。</w:t>
      </w:r>
    </w:p>
    <w:p w14:paraId="09CA4B93">
      <w:pPr>
        <w:keepNext w:val="0"/>
        <w:keepLines w:val="0"/>
        <w:pageBreakBefore w:val="0"/>
        <w:widowControl w:val="0"/>
        <w:kinsoku/>
        <w:wordWrap/>
        <w:overflowPunct/>
        <w:topLinePunct w:val="0"/>
        <w:autoSpaceDE/>
        <w:autoSpaceDN/>
        <w:bidi w:val="0"/>
        <w:adjustRightInd/>
        <w:spacing w:line="360" w:lineRule="exact"/>
        <w:ind w:firstLine="422" w:firstLineChars="200"/>
        <w:textAlignment w:val="auto"/>
        <w:rPr>
          <w:rFonts w:hint="eastAsia" w:ascii="宋体" w:hAnsi="宋体" w:eastAsia="宋体" w:cs="宋体"/>
          <w:b/>
          <w:color w:val="auto"/>
        </w:rPr>
      </w:pPr>
      <w:bookmarkStart w:id="24" w:name="_Toc35393800"/>
      <w:bookmarkStart w:id="25" w:name="_Toc35393631"/>
      <w:r>
        <w:rPr>
          <w:rFonts w:hint="eastAsia" w:ascii="宋体" w:hAnsi="宋体" w:eastAsia="宋体" w:cs="宋体"/>
          <w:b/>
          <w:color w:val="auto"/>
        </w:rPr>
        <w:t>三、获取采购文件</w:t>
      </w:r>
      <w:bookmarkEnd w:id="22"/>
      <w:bookmarkEnd w:id="23"/>
      <w:bookmarkEnd w:id="24"/>
      <w:bookmarkEnd w:id="25"/>
    </w:p>
    <w:p w14:paraId="405365F7">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color w:val="auto"/>
        </w:rPr>
      </w:pPr>
      <w:r>
        <w:rPr>
          <w:rFonts w:hint="eastAsia" w:ascii="宋体" w:hAnsi="宋体" w:eastAsia="宋体" w:cs="宋体"/>
          <w:color w:val="auto"/>
        </w:rPr>
        <w:t>1.时间：</w:t>
      </w:r>
      <w:r>
        <w:rPr>
          <w:rFonts w:hint="eastAsia" w:ascii="宋体" w:hAnsi="宋体" w:eastAsia="宋体" w:cs="宋体"/>
          <w:color w:val="auto"/>
          <w:szCs w:val="21"/>
          <w:u w:val="single"/>
        </w:rPr>
        <w:t>202</w:t>
      </w:r>
      <w:r>
        <w:rPr>
          <w:rFonts w:hint="eastAsia" w:ascii="宋体" w:hAnsi="宋体" w:eastAsia="宋体" w:cs="宋体"/>
          <w:color w:val="auto"/>
          <w:szCs w:val="21"/>
          <w:u w:val="single"/>
          <w:lang w:val="en-US" w:eastAsia="zh-CN"/>
        </w:rPr>
        <w:t>5</w:t>
      </w:r>
      <w:r>
        <w:rPr>
          <w:rFonts w:hint="eastAsia" w:ascii="宋体" w:hAnsi="宋体" w:eastAsia="宋体" w:cs="宋体"/>
          <w:color w:val="auto"/>
          <w:szCs w:val="21"/>
          <w:u w:val="single"/>
        </w:rPr>
        <w:t>年</w:t>
      </w:r>
      <w:r>
        <w:rPr>
          <w:rFonts w:hint="eastAsia" w:ascii="宋体" w:hAnsi="宋体" w:cs="宋体"/>
          <w:color w:val="auto"/>
          <w:szCs w:val="21"/>
          <w:u w:val="single"/>
          <w:lang w:val="en-US" w:eastAsia="zh-CN"/>
        </w:rPr>
        <w:t>11</w:t>
      </w:r>
      <w:r>
        <w:rPr>
          <w:rFonts w:hint="eastAsia" w:ascii="宋体" w:hAnsi="宋体" w:eastAsia="宋体" w:cs="宋体"/>
          <w:bCs/>
          <w:color w:val="auto"/>
          <w:szCs w:val="21"/>
          <w:u w:val="single"/>
        </w:rPr>
        <w:t>月</w:t>
      </w:r>
      <w:r>
        <w:rPr>
          <w:rFonts w:hint="eastAsia" w:ascii="宋体" w:hAnsi="宋体" w:cs="宋体"/>
          <w:bCs/>
          <w:color w:val="auto"/>
          <w:szCs w:val="21"/>
          <w:u w:val="single"/>
          <w:lang w:val="en-US" w:eastAsia="zh-CN"/>
        </w:rPr>
        <w:t>24</w:t>
      </w:r>
      <w:r>
        <w:rPr>
          <w:rFonts w:hint="eastAsia" w:ascii="宋体" w:hAnsi="宋体" w:eastAsia="宋体" w:cs="宋体"/>
          <w:bCs/>
          <w:color w:val="auto"/>
          <w:szCs w:val="21"/>
          <w:u w:val="single"/>
        </w:rPr>
        <w:t>日</w:t>
      </w:r>
      <w:r>
        <w:rPr>
          <w:rFonts w:hint="eastAsia" w:ascii="宋体" w:hAnsi="宋体" w:eastAsia="宋体" w:cs="宋体"/>
          <w:color w:val="auto"/>
        </w:rPr>
        <w:t>至</w:t>
      </w:r>
      <w:r>
        <w:rPr>
          <w:rFonts w:hint="eastAsia" w:ascii="宋体" w:hAnsi="宋体" w:eastAsia="宋体" w:cs="宋体"/>
          <w:color w:val="auto"/>
          <w:szCs w:val="21"/>
          <w:u w:val="single"/>
        </w:rPr>
        <w:t>202</w:t>
      </w:r>
      <w:r>
        <w:rPr>
          <w:rFonts w:hint="eastAsia" w:ascii="宋体" w:hAnsi="宋体" w:eastAsia="宋体" w:cs="宋体"/>
          <w:color w:val="auto"/>
          <w:szCs w:val="21"/>
          <w:u w:val="single"/>
          <w:lang w:val="en-US" w:eastAsia="zh-CN"/>
        </w:rPr>
        <w:t>5</w:t>
      </w:r>
      <w:r>
        <w:rPr>
          <w:rFonts w:hint="eastAsia" w:ascii="宋体" w:hAnsi="宋体" w:eastAsia="宋体" w:cs="宋体"/>
          <w:color w:val="auto"/>
          <w:szCs w:val="21"/>
          <w:u w:val="single"/>
        </w:rPr>
        <w:t>年</w:t>
      </w:r>
      <w:r>
        <w:rPr>
          <w:rFonts w:hint="eastAsia" w:ascii="宋体" w:hAnsi="宋体" w:cs="宋体"/>
          <w:color w:val="auto"/>
          <w:szCs w:val="21"/>
          <w:u w:val="single"/>
          <w:lang w:val="en-US" w:eastAsia="zh-CN"/>
        </w:rPr>
        <w:t>12</w:t>
      </w:r>
      <w:r>
        <w:rPr>
          <w:rFonts w:hint="eastAsia" w:ascii="宋体" w:hAnsi="宋体" w:eastAsia="宋体" w:cs="宋体"/>
          <w:bCs/>
          <w:color w:val="auto"/>
          <w:szCs w:val="21"/>
          <w:u w:val="single"/>
        </w:rPr>
        <w:t>月</w:t>
      </w:r>
      <w:r>
        <w:rPr>
          <w:rFonts w:hint="eastAsia" w:ascii="宋体" w:hAnsi="宋体" w:cs="宋体"/>
          <w:bCs/>
          <w:color w:val="auto"/>
          <w:szCs w:val="21"/>
          <w:u w:val="single"/>
          <w:lang w:val="en-US" w:eastAsia="zh-CN"/>
        </w:rPr>
        <w:t>1</w:t>
      </w:r>
      <w:r>
        <w:rPr>
          <w:rFonts w:hint="eastAsia" w:ascii="宋体" w:hAnsi="宋体" w:eastAsia="宋体" w:cs="宋体"/>
          <w:bCs/>
          <w:color w:val="auto"/>
          <w:szCs w:val="21"/>
          <w:u w:val="single"/>
        </w:rPr>
        <w:t>日</w:t>
      </w:r>
      <w:r>
        <w:rPr>
          <w:rFonts w:hint="eastAsia" w:ascii="宋体" w:hAnsi="宋体" w:eastAsia="宋体" w:cs="宋体"/>
          <w:color w:val="auto"/>
          <w:u w:val="single"/>
        </w:rPr>
        <w:t xml:space="preserve"> </w:t>
      </w:r>
      <w:r>
        <w:rPr>
          <w:rFonts w:hint="eastAsia" w:ascii="宋体" w:hAnsi="宋体" w:eastAsia="宋体" w:cs="宋体"/>
          <w:color w:val="auto"/>
        </w:rPr>
        <w:t>，每天上午</w:t>
      </w:r>
      <w:r>
        <w:rPr>
          <w:rFonts w:hint="eastAsia" w:ascii="宋体" w:hAnsi="宋体" w:eastAsia="宋体" w:cs="宋体"/>
          <w:color w:val="auto"/>
          <w:u w:val="single"/>
        </w:rPr>
        <w:t>8时30分</w:t>
      </w:r>
      <w:r>
        <w:rPr>
          <w:rFonts w:hint="eastAsia" w:ascii="宋体" w:hAnsi="宋体" w:eastAsia="宋体" w:cs="宋体"/>
          <w:color w:val="auto"/>
        </w:rPr>
        <w:t>至</w:t>
      </w:r>
      <w:r>
        <w:rPr>
          <w:rFonts w:hint="eastAsia" w:ascii="宋体" w:hAnsi="宋体" w:eastAsia="宋体" w:cs="宋体"/>
          <w:color w:val="auto"/>
          <w:u w:val="single"/>
        </w:rPr>
        <w:t>12时00分</w:t>
      </w:r>
      <w:r>
        <w:rPr>
          <w:rFonts w:hint="eastAsia" w:ascii="宋体" w:hAnsi="宋体" w:eastAsia="宋体" w:cs="宋体"/>
          <w:color w:val="auto"/>
        </w:rPr>
        <w:t>，下午</w:t>
      </w:r>
      <w:r>
        <w:rPr>
          <w:rFonts w:hint="eastAsia" w:ascii="宋体" w:hAnsi="宋体" w:eastAsia="宋体" w:cs="宋体"/>
          <w:color w:val="auto"/>
          <w:u w:val="single"/>
        </w:rPr>
        <w:t>15时00分</w:t>
      </w:r>
      <w:r>
        <w:rPr>
          <w:rFonts w:hint="eastAsia" w:ascii="宋体" w:hAnsi="宋体" w:eastAsia="宋体" w:cs="宋体"/>
          <w:color w:val="auto"/>
        </w:rPr>
        <w:t>至</w:t>
      </w:r>
      <w:r>
        <w:rPr>
          <w:rFonts w:hint="eastAsia" w:ascii="宋体" w:hAnsi="宋体" w:eastAsia="宋体" w:cs="宋体"/>
          <w:color w:val="auto"/>
          <w:u w:val="single"/>
        </w:rPr>
        <w:t>18时00分</w:t>
      </w:r>
      <w:r>
        <w:rPr>
          <w:rFonts w:hint="eastAsia" w:ascii="宋体" w:hAnsi="宋体" w:eastAsia="宋体" w:cs="宋体"/>
          <w:color w:val="auto"/>
        </w:rPr>
        <w:t>（北京时间，法定节假日除外）</w:t>
      </w:r>
    </w:p>
    <w:p w14:paraId="727D667A">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color w:val="auto"/>
          <w:u w:val="single"/>
        </w:rPr>
      </w:pPr>
      <w:r>
        <w:rPr>
          <w:rFonts w:hint="eastAsia" w:ascii="宋体" w:hAnsi="宋体" w:eastAsia="宋体" w:cs="宋体"/>
          <w:color w:val="auto"/>
        </w:rPr>
        <w:t>2.地点：广西南宁市白沙大道53号松宇时代13楼广西国力招标有限公司财务室（电话：0771-4915100、4915200）；</w:t>
      </w:r>
    </w:p>
    <w:p w14:paraId="3E890C7F">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color w:val="auto"/>
          <w:u w:val="single"/>
        </w:rPr>
      </w:pPr>
      <w:r>
        <w:rPr>
          <w:rFonts w:hint="eastAsia" w:ascii="宋体" w:hAnsi="宋体" w:eastAsia="宋体" w:cs="宋体"/>
          <w:color w:val="auto"/>
        </w:rPr>
        <w:t>3.方式：获取时间内，供应商代表携带授权委托书原件或复印件到获取地点购买。【邮购文件的，需于获取截止时间前将以上材料邮寄（传真或扫描发送2771551817</w:t>
      </w:r>
      <w:r>
        <w:rPr>
          <w:rFonts w:hint="eastAsia" w:ascii="宋体" w:hAnsi="宋体" w:eastAsia="宋体" w:cs="宋体"/>
          <w:color w:val="auto"/>
          <w:lang w:val="en-US" w:eastAsia="zh-CN"/>
        </w:rPr>
        <w:t>@qq.com</w:t>
      </w:r>
      <w:r>
        <w:rPr>
          <w:rFonts w:hint="eastAsia" w:ascii="宋体" w:hAnsi="宋体" w:eastAsia="宋体" w:cs="宋体"/>
          <w:color w:val="auto"/>
        </w:rPr>
        <w:t>）到采购代理机构，同时请注明拟投标采购项目名称、采购项目编号、投标人收件人、邮寄地址、邮编、电子邮箱、联系电话、传真号码等信息。】</w:t>
      </w:r>
    </w:p>
    <w:p w14:paraId="1242D862">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color w:val="auto"/>
        </w:rPr>
      </w:pPr>
      <w:r>
        <w:rPr>
          <w:rFonts w:hint="eastAsia" w:ascii="宋体" w:hAnsi="宋体" w:eastAsia="宋体" w:cs="宋体"/>
          <w:color w:val="auto"/>
        </w:rPr>
        <w:t>4.售价：竞争性磋商文件工本费每本</w:t>
      </w:r>
      <w:r>
        <w:rPr>
          <w:rFonts w:hint="eastAsia" w:ascii="宋体" w:hAnsi="宋体" w:eastAsia="宋体" w:cs="宋体"/>
          <w:color w:val="auto"/>
          <w:u w:val="single"/>
        </w:rPr>
        <w:t>300</w:t>
      </w:r>
      <w:r>
        <w:rPr>
          <w:rFonts w:hint="eastAsia" w:ascii="宋体" w:hAnsi="宋体" w:eastAsia="宋体" w:cs="宋体"/>
          <w:color w:val="auto"/>
        </w:rPr>
        <w:t>元，售后不退。依据《国家税务总局关于增值税发票开具有关问题的公告》国家税务总局公告2017年第16号的规定，磋商供应商在索取发票时，请提供纳税人识别号或统一社会信用代码。</w:t>
      </w:r>
    </w:p>
    <w:p w14:paraId="30ADCA65">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color w:val="auto"/>
        </w:rPr>
      </w:pPr>
      <w:r>
        <w:rPr>
          <w:rFonts w:hint="eastAsia" w:ascii="宋体" w:hAnsi="宋体" w:eastAsia="宋体" w:cs="宋体"/>
          <w:color w:val="auto"/>
        </w:rPr>
        <w:t>开户名称：广西国力招标有限公司</w:t>
      </w:r>
    </w:p>
    <w:p w14:paraId="688336FD">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color w:val="auto"/>
        </w:rPr>
      </w:pPr>
      <w:r>
        <w:rPr>
          <w:rFonts w:hint="eastAsia" w:ascii="宋体" w:hAnsi="宋体" w:eastAsia="宋体" w:cs="宋体"/>
          <w:color w:val="auto"/>
        </w:rPr>
        <w:t>开户银行：广西北部湾银行股份有限公司南宁市白沙支行（网银支付可选广西北部湾银行江南支行）</w:t>
      </w:r>
    </w:p>
    <w:p w14:paraId="7143088E">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color w:val="auto"/>
        </w:rPr>
      </w:pPr>
      <w:r>
        <w:rPr>
          <w:rFonts w:hint="eastAsia" w:ascii="宋体" w:hAnsi="宋体" w:eastAsia="宋体" w:cs="宋体"/>
          <w:color w:val="auto"/>
        </w:rPr>
        <w:t>银行账号：800109057400039</w:t>
      </w:r>
    </w:p>
    <w:p w14:paraId="2CD7B8E3">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color w:val="auto"/>
        </w:rPr>
      </w:pPr>
      <w:r>
        <w:rPr>
          <w:rFonts w:hint="eastAsia" w:ascii="宋体" w:hAnsi="宋体" w:eastAsia="宋体" w:cs="宋体"/>
          <w:color w:val="auto"/>
        </w:rPr>
        <w:t>银行行号：313611002051</w:t>
      </w:r>
    </w:p>
    <w:p w14:paraId="1EDF9D1E">
      <w:pPr>
        <w:keepNext w:val="0"/>
        <w:keepLines w:val="0"/>
        <w:pageBreakBefore w:val="0"/>
        <w:widowControl w:val="0"/>
        <w:kinsoku/>
        <w:wordWrap/>
        <w:overflowPunct/>
        <w:topLinePunct w:val="0"/>
        <w:autoSpaceDE/>
        <w:autoSpaceDN/>
        <w:bidi w:val="0"/>
        <w:adjustRightInd/>
        <w:spacing w:line="360" w:lineRule="exact"/>
        <w:ind w:firstLine="422" w:firstLineChars="200"/>
        <w:textAlignment w:val="auto"/>
        <w:rPr>
          <w:rFonts w:hint="eastAsia" w:ascii="宋体" w:hAnsi="宋体" w:eastAsia="宋体" w:cs="宋体"/>
          <w:b/>
          <w:color w:val="auto"/>
        </w:rPr>
      </w:pPr>
      <w:bookmarkStart w:id="26" w:name="_Toc35393801"/>
      <w:bookmarkStart w:id="27" w:name="_Toc35393632"/>
      <w:bookmarkStart w:id="28" w:name="_Toc28359092"/>
      <w:bookmarkStart w:id="29" w:name="_Toc28359015"/>
      <w:r>
        <w:rPr>
          <w:rFonts w:hint="eastAsia" w:ascii="宋体" w:hAnsi="宋体" w:eastAsia="宋体" w:cs="宋体"/>
          <w:b/>
          <w:color w:val="auto"/>
        </w:rPr>
        <w:t>四、响应文件提交</w:t>
      </w:r>
      <w:bookmarkEnd w:id="26"/>
      <w:bookmarkEnd w:id="27"/>
      <w:bookmarkEnd w:id="28"/>
      <w:bookmarkEnd w:id="29"/>
    </w:p>
    <w:p w14:paraId="25D062CE">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bCs/>
          <w:color w:val="auto"/>
          <w:u w:val="single"/>
        </w:rPr>
      </w:pPr>
      <w:r>
        <w:rPr>
          <w:rFonts w:hint="eastAsia" w:ascii="宋体" w:hAnsi="宋体" w:eastAsia="宋体" w:cs="宋体"/>
          <w:color w:val="auto"/>
        </w:rPr>
        <w:t>截止时间：</w:t>
      </w:r>
      <w:r>
        <w:rPr>
          <w:rFonts w:hint="eastAsia" w:ascii="宋体" w:hAnsi="宋体" w:eastAsia="宋体" w:cs="宋体"/>
          <w:color w:val="auto"/>
          <w:szCs w:val="21"/>
          <w:u w:val="single"/>
        </w:rPr>
        <w:t>202</w:t>
      </w:r>
      <w:r>
        <w:rPr>
          <w:rFonts w:hint="eastAsia" w:ascii="宋体" w:hAnsi="宋体" w:eastAsia="宋体" w:cs="宋体"/>
          <w:color w:val="auto"/>
          <w:szCs w:val="21"/>
          <w:u w:val="single"/>
          <w:lang w:val="en-US" w:eastAsia="zh-CN"/>
        </w:rPr>
        <w:t>5</w:t>
      </w:r>
      <w:r>
        <w:rPr>
          <w:rFonts w:hint="eastAsia" w:ascii="宋体" w:hAnsi="宋体" w:eastAsia="宋体" w:cs="宋体"/>
          <w:color w:val="auto"/>
          <w:szCs w:val="21"/>
          <w:u w:val="single"/>
        </w:rPr>
        <w:t>年</w:t>
      </w:r>
      <w:r>
        <w:rPr>
          <w:rFonts w:hint="eastAsia" w:ascii="宋体" w:hAnsi="宋体" w:cs="宋体"/>
          <w:color w:val="auto"/>
          <w:szCs w:val="21"/>
          <w:u w:val="single"/>
          <w:lang w:val="en-US" w:eastAsia="zh-CN"/>
        </w:rPr>
        <w:t>12</w:t>
      </w:r>
      <w:r>
        <w:rPr>
          <w:rFonts w:hint="eastAsia" w:ascii="宋体" w:hAnsi="宋体" w:eastAsia="宋体" w:cs="宋体"/>
          <w:bCs/>
          <w:color w:val="auto"/>
          <w:szCs w:val="21"/>
          <w:u w:val="single"/>
        </w:rPr>
        <w:t>月</w:t>
      </w:r>
      <w:r>
        <w:rPr>
          <w:rFonts w:hint="eastAsia" w:ascii="宋体" w:hAnsi="宋体" w:cs="宋体"/>
          <w:bCs/>
          <w:color w:val="auto"/>
          <w:szCs w:val="21"/>
          <w:u w:val="single"/>
          <w:lang w:val="en-US" w:eastAsia="zh-CN"/>
        </w:rPr>
        <w:t>5</w:t>
      </w:r>
      <w:r>
        <w:rPr>
          <w:rFonts w:hint="eastAsia" w:ascii="宋体" w:hAnsi="宋体" w:eastAsia="宋体" w:cs="宋体"/>
          <w:bCs/>
          <w:color w:val="auto"/>
          <w:szCs w:val="21"/>
          <w:u w:val="single"/>
        </w:rPr>
        <w:t>日</w:t>
      </w:r>
      <w:r>
        <w:rPr>
          <w:rFonts w:hint="eastAsia" w:ascii="宋体" w:hAnsi="宋体" w:cs="宋体"/>
          <w:bCs/>
          <w:color w:val="auto"/>
          <w:szCs w:val="21"/>
          <w:u w:val="single"/>
          <w:lang w:val="en-US" w:eastAsia="zh-CN"/>
        </w:rPr>
        <w:t>9</w:t>
      </w:r>
      <w:r>
        <w:rPr>
          <w:rFonts w:hint="eastAsia" w:ascii="宋体" w:hAnsi="宋体" w:eastAsia="宋体" w:cs="宋体"/>
          <w:bCs/>
          <w:color w:val="auto"/>
          <w:szCs w:val="21"/>
          <w:u w:val="single"/>
        </w:rPr>
        <w:t>点</w:t>
      </w:r>
      <w:r>
        <w:rPr>
          <w:rFonts w:hint="eastAsia" w:ascii="宋体" w:hAnsi="宋体" w:eastAsia="宋体" w:cs="宋体"/>
          <w:bCs/>
          <w:color w:val="auto"/>
          <w:szCs w:val="21"/>
          <w:u w:val="single"/>
          <w:lang w:val="en-US" w:eastAsia="zh-CN"/>
        </w:rPr>
        <w:t>30</w:t>
      </w:r>
      <w:r>
        <w:rPr>
          <w:rFonts w:hint="eastAsia" w:ascii="宋体" w:hAnsi="宋体" w:eastAsia="宋体" w:cs="宋体"/>
          <w:bCs/>
          <w:color w:val="auto"/>
          <w:szCs w:val="21"/>
          <w:u w:val="single"/>
        </w:rPr>
        <w:t>分</w:t>
      </w:r>
      <w:r>
        <w:rPr>
          <w:rFonts w:hint="eastAsia" w:ascii="宋体" w:hAnsi="宋体" w:eastAsia="宋体" w:cs="宋体"/>
          <w:bCs/>
          <w:color w:val="auto"/>
        </w:rPr>
        <w:t>（北京时间）</w:t>
      </w:r>
    </w:p>
    <w:p w14:paraId="1E1C6939">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bCs/>
          <w:color w:val="auto"/>
          <w:u w:val="single"/>
        </w:rPr>
      </w:pPr>
      <w:r>
        <w:rPr>
          <w:rFonts w:hint="eastAsia" w:ascii="宋体" w:hAnsi="宋体" w:eastAsia="宋体" w:cs="宋体"/>
          <w:color w:val="auto"/>
        </w:rPr>
        <w:t>地点：</w:t>
      </w:r>
      <w:r>
        <w:rPr>
          <w:rFonts w:hint="eastAsia" w:ascii="宋体" w:hAnsi="宋体" w:eastAsia="宋体" w:cs="宋体"/>
          <w:b/>
          <w:color w:val="auto"/>
          <w:szCs w:val="21"/>
        </w:rPr>
        <w:t>广西国力招标有限公司开标厅（广西南宁市白沙大道53号松宇时代13楼）</w:t>
      </w:r>
      <w:r>
        <w:rPr>
          <w:rFonts w:hint="eastAsia" w:ascii="宋体" w:hAnsi="宋体" w:eastAsia="宋体" w:cs="宋体"/>
          <w:color w:val="auto"/>
          <w:szCs w:val="21"/>
        </w:rPr>
        <w:t>。截止时间后为磋商小组与磋商供应商磋商时间，具体时间由本代理机构另行通知。地点：广西国力招标有限公司评标室（广西南宁市白沙大道53号松宇时代13楼），参加磋商的法定代表人或委托代理人必须持有效证件[法定代表人凭身份证或委托代理人凭法人授权委托书原件和身份证]依时到达指定地点等候当面磋商。</w:t>
      </w:r>
    </w:p>
    <w:p w14:paraId="60219FEC">
      <w:pPr>
        <w:keepNext w:val="0"/>
        <w:keepLines w:val="0"/>
        <w:pageBreakBefore w:val="0"/>
        <w:widowControl w:val="0"/>
        <w:kinsoku/>
        <w:wordWrap/>
        <w:overflowPunct/>
        <w:topLinePunct w:val="0"/>
        <w:autoSpaceDE/>
        <w:autoSpaceDN/>
        <w:bidi w:val="0"/>
        <w:adjustRightInd/>
        <w:spacing w:line="360" w:lineRule="exact"/>
        <w:ind w:firstLine="422" w:firstLineChars="200"/>
        <w:textAlignment w:val="auto"/>
        <w:rPr>
          <w:rFonts w:hint="eastAsia" w:ascii="宋体" w:hAnsi="宋体" w:eastAsia="宋体" w:cs="宋体"/>
          <w:b/>
          <w:color w:val="auto"/>
        </w:rPr>
      </w:pPr>
      <w:bookmarkStart w:id="30" w:name="_Toc28359093"/>
      <w:bookmarkStart w:id="31" w:name="_Toc28359016"/>
      <w:bookmarkStart w:id="32" w:name="_Toc35393633"/>
      <w:bookmarkStart w:id="33" w:name="_Toc35393802"/>
      <w:r>
        <w:rPr>
          <w:rFonts w:hint="eastAsia" w:ascii="宋体" w:hAnsi="宋体" w:eastAsia="宋体" w:cs="宋体"/>
          <w:b/>
          <w:color w:val="auto"/>
        </w:rPr>
        <w:t>五、开启</w:t>
      </w:r>
      <w:bookmarkEnd w:id="30"/>
      <w:bookmarkEnd w:id="31"/>
      <w:bookmarkEnd w:id="32"/>
      <w:bookmarkEnd w:id="33"/>
    </w:p>
    <w:p w14:paraId="540A800A">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bCs/>
          <w:color w:val="auto"/>
          <w:u w:val="single"/>
        </w:rPr>
      </w:pPr>
      <w:r>
        <w:rPr>
          <w:rFonts w:hint="eastAsia" w:ascii="宋体" w:hAnsi="宋体" w:eastAsia="宋体" w:cs="宋体"/>
          <w:color w:val="auto"/>
        </w:rPr>
        <w:t>时间：</w:t>
      </w:r>
      <w:r>
        <w:rPr>
          <w:rFonts w:hint="eastAsia" w:ascii="宋体" w:hAnsi="宋体" w:eastAsia="宋体" w:cs="宋体"/>
          <w:color w:val="auto"/>
          <w:szCs w:val="21"/>
          <w:u w:val="single"/>
        </w:rPr>
        <w:t>202</w:t>
      </w:r>
      <w:r>
        <w:rPr>
          <w:rFonts w:hint="eastAsia" w:ascii="宋体" w:hAnsi="宋体" w:eastAsia="宋体" w:cs="宋体"/>
          <w:color w:val="auto"/>
          <w:szCs w:val="21"/>
          <w:u w:val="single"/>
          <w:lang w:val="en-US" w:eastAsia="zh-CN"/>
        </w:rPr>
        <w:t>5</w:t>
      </w:r>
      <w:r>
        <w:rPr>
          <w:rFonts w:hint="eastAsia" w:ascii="宋体" w:hAnsi="宋体" w:eastAsia="宋体" w:cs="宋体"/>
          <w:color w:val="auto"/>
          <w:szCs w:val="21"/>
          <w:u w:val="single"/>
        </w:rPr>
        <w:t>年</w:t>
      </w:r>
      <w:r>
        <w:rPr>
          <w:rFonts w:hint="eastAsia" w:ascii="宋体" w:hAnsi="宋体" w:cs="宋体"/>
          <w:color w:val="auto"/>
          <w:szCs w:val="21"/>
          <w:u w:val="single"/>
          <w:lang w:val="en-US" w:eastAsia="zh-CN"/>
        </w:rPr>
        <w:t>12</w:t>
      </w:r>
      <w:r>
        <w:rPr>
          <w:rFonts w:hint="eastAsia" w:ascii="宋体" w:hAnsi="宋体" w:eastAsia="宋体" w:cs="宋体"/>
          <w:bCs/>
          <w:color w:val="auto"/>
          <w:szCs w:val="21"/>
          <w:u w:val="single"/>
        </w:rPr>
        <w:t>月</w:t>
      </w:r>
      <w:r>
        <w:rPr>
          <w:rFonts w:hint="eastAsia" w:ascii="宋体" w:hAnsi="宋体" w:cs="宋体"/>
          <w:bCs/>
          <w:color w:val="auto"/>
          <w:szCs w:val="21"/>
          <w:u w:val="single"/>
          <w:lang w:val="en-US" w:eastAsia="zh-CN"/>
        </w:rPr>
        <w:t>5</w:t>
      </w:r>
      <w:r>
        <w:rPr>
          <w:rFonts w:hint="eastAsia" w:ascii="宋体" w:hAnsi="宋体" w:eastAsia="宋体" w:cs="宋体"/>
          <w:bCs/>
          <w:color w:val="auto"/>
          <w:szCs w:val="21"/>
          <w:u w:val="single"/>
        </w:rPr>
        <w:t>日</w:t>
      </w:r>
      <w:r>
        <w:rPr>
          <w:rFonts w:hint="eastAsia" w:ascii="宋体" w:hAnsi="宋体" w:cs="宋体"/>
          <w:bCs/>
          <w:color w:val="auto"/>
          <w:szCs w:val="21"/>
          <w:u w:val="single"/>
          <w:lang w:val="en-US" w:eastAsia="zh-CN"/>
        </w:rPr>
        <w:t>9</w:t>
      </w:r>
      <w:r>
        <w:rPr>
          <w:rFonts w:hint="eastAsia" w:ascii="宋体" w:hAnsi="宋体" w:eastAsia="宋体" w:cs="宋体"/>
          <w:bCs/>
          <w:color w:val="auto"/>
          <w:szCs w:val="21"/>
          <w:u w:val="single"/>
        </w:rPr>
        <w:t>点</w:t>
      </w:r>
      <w:r>
        <w:rPr>
          <w:rFonts w:hint="eastAsia" w:ascii="宋体" w:hAnsi="宋体" w:eastAsia="宋体" w:cs="宋体"/>
          <w:bCs/>
          <w:color w:val="auto"/>
          <w:szCs w:val="21"/>
          <w:u w:val="single"/>
          <w:lang w:val="en-US" w:eastAsia="zh-CN"/>
        </w:rPr>
        <w:t>30</w:t>
      </w:r>
      <w:r>
        <w:rPr>
          <w:rFonts w:hint="eastAsia" w:ascii="宋体" w:hAnsi="宋体" w:eastAsia="宋体" w:cs="宋体"/>
          <w:bCs/>
          <w:color w:val="auto"/>
          <w:szCs w:val="21"/>
          <w:u w:val="single"/>
        </w:rPr>
        <w:t>分</w:t>
      </w:r>
      <w:r>
        <w:rPr>
          <w:rFonts w:hint="eastAsia" w:ascii="宋体" w:hAnsi="宋体" w:eastAsia="宋体" w:cs="宋体"/>
          <w:bCs/>
          <w:color w:val="auto"/>
          <w:u w:val="single"/>
        </w:rPr>
        <w:t>后</w:t>
      </w:r>
      <w:r>
        <w:rPr>
          <w:rFonts w:hint="eastAsia" w:ascii="宋体" w:hAnsi="宋体" w:eastAsia="宋体" w:cs="宋体"/>
          <w:bCs/>
          <w:color w:val="auto"/>
        </w:rPr>
        <w:t>（北京时间）</w:t>
      </w:r>
    </w:p>
    <w:p w14:paraId="06427E4E">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bCs/>
          <w:color w:val="auto"/>
          <w:u w:val="single"/>
        </w:rPr>
      </w:pPr>
      <w:r>
        <w:rPr>
          <w:rFonts w:hint="eastAsia" w:ascii="宋体" w:hAnsi="宋体" w:eastAsia="宋体" w:cs="宋体"/>
          <w:color w:val="auto"/>
        </w:rPr>
        <w:t>地点：</w:t>
      </w:r>
      <w:r>
        <w:rPr>
          <w:rFonts w:hint="eastAsia" w:ascii="宋体" w:hAnsi="宋体" w:eastAsia="宋体" w:cs="宋体"/>
          <w:color w:val="auto"/>
          <w:szCs w:val="21"/>
        </w:rPr>
        <w:t>广西国力招标有限公司评标室（广西南宁市白沙大道53号松宇时代13楼）。</w:t>
      </w:r>
    </w:p>
    <w:p w14:paraId="3B54A7CC">
      <w:pPr>
        <w:keepNext w:val="0"/>
        <w:keepLines w:val="0"/>
        <w:pageBreakBefore w:val="0"/>
        <w:widowControl w:val="0"/>
        <w:kinsoku/>
        <w:wordWrap/>
        <w:overflowPunct/>
        <w:topLinePunct w:val="0"/>
        <w:autoSpaceDE/>
        <w:autoSpaceDN/>
        <w:bidi w:val="0"/>
        <w:adjustRightInd/>
        <w:spacing w:line="360" w:lineRule="exact"/>
        <w:ind w:firstLine="422" w:firstLineChars="200"/>
        <w:textAlignment w:val="auto"/>
        <w:rPr>
          <w:rFonts w:hint="eastAsia" w:ascii="宋体" w:hAnsi="宋体" w:eastAsia="宋体" w:cs="宋体"/>
          <w:b/>
          <w:color w:val="auto"/>
        </w:rPr>
      </w:pPr>
      <w:bookmarkStart w:id="34" w:name="_Toc35393634"/>
      <w:bookmarkStart w:id="35" w:name="_Toc35393803"/>
      <w:bookmarkStart w:id="36" w:name="_Toc28359017"/>
      <w:bookmarkStart w:id="37" w:name="_Toc28359094"/>
      <w:r>
        <w:rPr>
          <w:rFonts w:hint="eastAsia" w:ascii="宋体" w:hAnsi="宋体" w:eastAsia="宋体" w:cs="宋体"/>
          <w:b/>
          <w:color w:val="auto"/>
        </w:rPr>
        <w:t>六、公告期限</w:t>
      </w:r>
      <w:bookmarkEnd w:id="34"/>
      <w:bookmarkEnd w:id="35"/>
      <w:bookmarkEnd w:id="36"/>
      <w:bookmarkEnd w:id="37"/>
    </w:p>
    <w:p w14:paraId="136DE154">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color w:val="auto"/>
          <w:kern w:val="0"/>
        </w:rPr>
      </w:pPr>
      <w:r>
        <w:rPr>
          <w:rFonts w:hint="eastAsia" w:ascii="宋体" w:hAnsi="宋体" w:eastAsia="宋体" w:cs="宋体"/>
          <w:color w:val="auto"/>
          <w:kern w:val="0"/>
        </w:rPr>
        <w:t>自本公告发布之日起</w:t>
      </w:r>
      <w:r>
        <w:rPr>
          <w:rFonts w:hint="eastAsia" w:ascii="宋体" w:hAnsi="宋体" w:eastAsia="宋体" w:cs="宋体"/>
          <w:color w:val="auto"/>
          <w:kern w:val="0"/>
          <w:lang w:val="en-US" w:eastAsia="zh-CN"/>
        </w:rPr>
        <w:t>5</w:t>
      </w:r>
      <w:r>
        <w:rPr>
          <w:rFonts w:hint="eastAsia" w:ascii="宋体" w:hAnsi="宋体" w:eastAsia="宋体" w:cs="宋体"/>
          <w:color w:val="auto"/>
          <w:kern w:val="0"/>
        </w:rPr>
        <w:t>个工作日。</w:t>
      </w:r>
    </w:p>
    <w:p w14:paraId="365DB4FC">
      <w:pPr>
        <w:keepNext w:val="0"/>
        <w:keepLines w:val="0"/>
        <w:pageBreakBefore w:val="0"/>
        <w:widowControl w:val="0"/>
        <w:kinsoku/>
        <w:wordWrap/>
        <w:overflowPunct/>
        <w:topLinePunct w:val="0"/>
        <w:autoSpaceDE/>
        <w:autoSpaceDN/>
        <w:bidi w:val="0"/>
        <w:adjustRightInd/>
        <w:spacing w:line="360" w:lineRule="exact"/>
        <w:ind w:firstLine="422" w:firstLineChars="200"/>
        <w:textAlignment w:val="auto"/>
        <w:rPr>
          <w:rFonts w:hint="eastAsia" w:ascii="宋体" w:hAnsi="宋体" w:eastAsia="宋体" w:cs="宋体"/>
          <w:b/>
          <w:color w:val="auto"/>
        </w:rPr>
      </w:pPr>
      <w:bookmarkStart w:id="38" w:name="_Toc35393635"/>
      <w:bookmarkStart w:id="39" w:name="_Toc35393804"/>
      <w:r>
        <w:rPr>
          <w:rFonts w:hint="eastAsia" w:ascii="宋体" w:hAnsi="宋体" w:eastAsia="宋体" w:cs="宋体"/>
          <w:b/>
          <w:color w:val="auto"/>
        </w:rPr>
        <w:t>七、其他补充事宜</w:t>
      </w:r>
      <w:bookmarkEnd w:id="38"/>
      <w:bookmarkEnd w:id="39"/>
    </w:p>
    <w:p w14:paraId="63973A88">
      <w:pPr>
        <w:keepNext w:val="0"/>
        <w:keepLines w:val="0"/>
        <w:pageBreakBefore w:val="0"/>
        <w:widowControl w:val="0"/>
        <w:kinsoku/>
        <w:wordWrap/>
        <w:overflowPunct/>
        <w:topLinePunct w:val="0"/>
        <w:autoSpaceDE/>
        <w:autoSpaceDN/>
        <w:bidi w:val="0"/>
        <w:adjustRightInd/>
        <w:spacing w:line="36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b/>
          <w:color w:val="auto"/>
          <w:highlight w:val="none"/>
        </w:rPr>
        <w:t>1.</w:t>
      </w:r>
      <w:r>
        <w:rPr>
          <w:rFonts w:hint="eastAsia" w:ascii="宋体" w:hAnsi="宋体" w:eastAsia="宋体" w:cs="宋体"/>
          <w:b/>
          <w:bCs/>
          <w:color w:val="auto"/>
          <w:highlight w:val="none"/>
        </w:rPr>
        <w:t xml:space="preserve"> </w:t>
      </w:r>
      <w:r>
        <w:rPr>
          <w:rFonts w:hint="eastAsia" w:ascii="宋体" w:hAnsi="宋体" w:eastAsia="宋体" w:cs="宋体"/>
          <w:b/>
          <w:color w:val="auto"/>
          <w:szCs w:val="21"/>
          <w:highlight w:val="none"/>
        </w:rPr>
        <w:t>磋商</w:t>
      </w:r>
      <w:r>
        <w:rPr>
          <w:rFonts w:hint="eastAsia" w:ascii="宋体" w:hAnsi="宋体" w:eastAsia="宋体" w:cs="宋体"/>
          <w:b/>
          <w:bCs/>
          <w:color w:val="auto"/>
          <w:highlight w:val="none"/>
        </w:rPr>
        <w:t>保证金</w:t>
      </w:r>
      <w:r>
        <w:rPr>
          <w:rFonts w:hint="eastAsia" w:ascii="宋体" w:hAnsi="宋体" w:eastAsia="宋体" w:cs="宋体"/>
          <w:b/>
          <w:color w:val="auto"/>
          <w:highlight w:val="none"/>
        </w:rPr>
        <w:t>（人民币）：</w:t>
      </w:r>
      <w:r>
        <w:rPr>
          <w:rFonts w:hint="eastAsia" w:ascii="宋体" w:hAnsi="宋体" w:eastAsia="宋体" w:cs="宋体"/>
          <w:bCs/>
          <w:color w:val="auto"/>
          <w:highlight w:val="none"/>
          <w:u w:val="single"/>
          <w:lang w:val="en-US" w:eastAsia="zh-CN"/>
        </w:rPr>
        <w:t>30</w:t>
      </w:r>
      <w:r>
        <w:rPr>
          <w:rFonts w:hint="eastAsia" w:ascii="宋体" w:hAnsi="宋体" w:eastAsia="宋体" w:cs="宋体"/>
          <w:bCs/>
          <w:color w:val="auto"/>
          <w:highlight w:val="none"/>
          <w:u w:val="single"/>
        </w:rPr>
        <w:t>00.00</w:t>
      </w:r>
      <w:r>
        <w:rPr>
          <w:rFonts w:hint="eastAsia" w:ascii="宋体" w:hAnsi="宋体" w:eastAsia="宋体" w:cs="宋体"/>
          <w:bCs/>
          <w:color w:val="auto"/>
          <w:highlight w:val="none"/>
        </w:rPr>
        <w:t>元</w:t>
      </w:r>
      <w:r>
        <w:rPr>
          <w:rFonts w:hint="eastAsia" w:ascii="宋体" w:hAnsi="宋体" w:eastAsia="宋体" w:cs="宋体"/>
          <w:color w:val="auto"/>
          <w:highlight w:val="none"/>
        </w:rPr>
        <w:t>。</w:t>
      </w:r>
      <w:r>
        <w:rPr>
          <w:rFonts w:hint="eastAsia" w:ascii="宋体" w:hAnsi="宋体" w:eastAsia="宋体" w:cs="宋体"/>
          <w:b/>
          <w:color w:val="auto"/>
          <w:highlight w:val="none"/>
        </w:rPr>
        <w:t>（必须足额交纳）</w:t>
      </w:r>
    </w:p>
    <w:p w14:paraId="2D90A954">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磋商保证金的交纳方式：银行转账、支票、汇票、本票或者银行、保险机构出具的保函，禁止采用现金形式。采用银行转账方式的，在响应文件提交截止时间前交至采购代理机构指定账户并且到账；采用支票、汇票、本票或者保函等方式的，在响应文件提交截止时间前，磋商供应商应当递交单独密封的支票、汇票、本票或者保函原件。</w:t>
      </w:r>
      <w:r>
        <w:rPr>
          <w:rFonts w:hint="eastAsia" w:ascii="宋体" w:hAnsi="宋体" w:eastAsia="宋体" w:cs="宋体"/>
          <w:b/>
          <w:bCs/>
          <w:color w:val="auto"/>
          <w:szCs w:val="21"/>
        </w:rPr>
        <w:t>否则视为无效磋商保证金。</w:t>
      </w:r>
      <w:r>
        <w:rPr>
          <w:rFonts w:hint="eastAsia" w:ascii="宋体" w:hAnsi="宋体" w:eastAsia="宋体" w:cs="宋体"/>
          <w:b/>
          <w:color w:val="auto"/>
          <w:szCs w:val="21"/>
        </w:rPr>
        <w:t>（财务室电话：0771-4915100、4915200）</w:t>
      </w:r>
    </w:p>
    <w:p w14:paraId="51186417">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开户名称：广西国力招标有限公司</w:t>
      </w:r>
    </w:p>
    <w:p w14:paraId="42B1AA0B">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开户银行：广西北部湾银行金凯支行（网银支付可选广西北部湾银行江南支行）</w:t>
      </w:r>
    </w:p>
    <w:p w14:paraId="6A33F48C">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银行账号：800109057455558</w:t>
      </w:r>
    </w:p>
    <w:p w14:paraId="68BF5086">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color w:val="auto"/>
        </w:rPr>
      </w:pPr>
      <w:r>
        <w:rPr>
          <w:rFonts w:hint="eastAsia" w:ascii="宋体" w:hAnsi="宋体" w:eastAsia="宋体" w:cs="宋体"/>
          <w:color w:val="auto"/>
          <w:szCs w:val="21"/>
        </w:rPr>
        <w:t>银行行号：313611002043</w:t>
      </w:r>
    </w:p>
    <w:p w14:paraId="105E5EC3">
      <w:pPr>
        <w:keepNext w:val="0"/>
        <w:keepLines w:val="0"/>
        <w:pageBreakBefore w:val="0"/>
        <w:widowControl w:val="0"/>
        <w:kinsoku/>
        <w:wordWrap/>
        <w:overflowPunct/>
        <w:topLinePunct w:val="0"/>
        <w:autoSpaceDE/>
        <w:autoSpaceDN/>
        <w:bidi w:val="0"/>
        <w:adjustRightInd/>
        <w:spacing w:line="360" w:lineRule="exact"/>
        <w:ind w:firstLine="422" w:firstLineChars="200"/>
        <w:textAlignment w:val="auto"/>
        <w:rPr>
          <w:rFonts w:hint="eastAsia" w:ascii="宋体" w:hAnsi="宋体" w:eastAsia="宋体" w:cs="宋体"/>
          <w:b/>
          <w:color w:val="auto"/>
        </w:rPr>
      </w:pPr>
      <w:r>
        <w:rPr>
          <w:rFonts w:hint="eastAsia" w:ascii="宋体" w:hAnsi="宋体" w:eastAsia="宋体" w:cs="宋体"/>
          <w:b/>
          <w:color w:val="auto"/>
        </w:rPr>
        <w:t>2.网上公告媒体查询</w:t>
      </w:r>
    </w:p>
    <w:p w14:paraId="45FA5864">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中国采购与招标网（http</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//www.chinabidding.com.cn/）、广西国力招标有限公司网（http</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//www.gxguoli.cn/）</w:t>
      </w:r>
      <w:r>
        <w:rPr>
          <w:rFonts w:hint="eastAsia" w:ascii="宋体" w:hAnsi="宋体" w:eastAsia="宋体" w:cs="宋体"/>
          <w:color w:val="auto"/>
          <w:highlight w:val="none"/>
        </w:rPr>
        <w:t>。</w:t>
      </w:r>
    </w:p>
    <w:p w14:paraId="076B91DF">
      <w:pPr>
        <w:keepNext w:val="0"/>
        <w:keepLines w:val="0"/>
        <w:pageBreakBefore w:val="0"/>
        <w:widowControl w:val="0"/>
        <w:kinsoku/>
        <w:wordWrap/>
        <w:overflowPunct/>
        <w:topLinePunct w:val="0"/>
        <w:autoSpaceDE/>
        <w:autoSpaceDN/>
        <w:bidi w:val="0"/>
        <w:adjustRightInd/>
        <w:spacing w:line="360" w:lineRule="exact"/>
        <w:ind w:firstLine="422" w:firstLineChars="200"/>
        <w:textAlignment w:val="auto"/>
        <w:rPr>
          <w:rFonts w:hint="eastAsia" w:ascii="宋体" w:hAnsi="宋体" w:eastAsia="宋体" w:cs="宋体"/>
          <w:b/>
          <w:color w:val="auto"/>
          <w:highlight w:val="none"/>
        </w:rPr>
      </w:pPr>
      <w:bookmarkStart w:id="40" w:name="_Toc35393636"/>
      <w:bookmarkStart w:id="41" w:name="_Toc28359018"/>
      <w:bookmarkStart w:id="42" w:name="_Toc28359095"/>
      <w:bookmarkStart w:id="43" w:name="_Toc35393805"/>
      <w:r>
        <w:rPr>
          <w:rFonts w:hint="eastAsia" w:ascii="宋体" w:hAnsi="宋体" w:eastAsia="宋体" w:cs="宋体"/>
          <w:b/>
          <w:color w:val="auto"/>
          <w:highlight w:val="none"/>
        </w:rPr>
        <w:t>八、凡对本次采购提出询问，请按以下方式联系。</w:t>
      </w:r>
      <w:bookmarkEnd w:id="40"/>
      <w:bookmarkEnd w:id="41"/>
      <w:bookmarkEnd w:id="42"/>
      <w:bookmarkEnd w:id="43"/>
    </w:p>
    <w:p w14:paraId="792B766C">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1.采购人信息</w:t>
      </w:r>
    </w:p>
    <w:p w14:paraId="5F12B324">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名称：</w:t>
      </w:r>
      <w:r>
        <w:rPr>
          <w:rFonts w:hint="eastAsia" w:ascii="宋体" w:hAnsi="宋体" w:eastAsia="宋体" w:cs="宋体"/>
          <w:color w:val="auto"/>
          <w:highlight w:val="none"/>
          <w:lang w:eastAsia="zh-CN"/>
        </w:rPr>
        <w:t>南宁市卫生健康委员会</w:t>
      </w:r>
    </w:p>
    <w:p w14:paraId="5C109675">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color w:val="auto"/>
          <w:highlight w:val="none"/>
        </w:rPr>
      </w:pPr>
      <w:bookmarkStart w:id="44" w:name="_Toc28359009"/>
      <w:bookmarkStart w:id="45" w:name="_Toc28359086"/>
      <w:r>
        <w:rPr>
          <w:rFonts w:hint="eastAsia" w:ascii="宋体" w:hAnsi="宋体" w:eastAsia="宋体" w:cs="宋体"/>
          <w:color w:val="auto"/>
          <w:highlight w:val="none"/>
        </w:rPr>
        <w:t xml:space="preserve">地址：南宁市青秀区长湖路26号    </w:t>
      </w:r>
    </w:p>
    <w:p w14:paraId="100BEAA2">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联系方式：陈萧羽</w:t>
      </w:r>
      <w:r>
        <w:rPr>
          <w:rFonts w:hint="eastAsia" w:ascii="宋体" w:hAnsi="宋体" w:eastAsia="宋体" w:cs="宋体"/>
          <w:color w:val="auto"/>
          <w:highlight w:val="none"/>
          <w:lang w:val="en-US" w:eastAsia="zh-CN"/>
        </w:rPr>
        <w:t>，0771-5389161</w:t>
      </w:r>
    </w:p>
    <w:p w14:paraId="619D7D44">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2.采购代理机构信息</w:t>
      </w:r>
      <w:bookmarkEnd w:id="44"/>
      <w:bookmarkEnd w:id="45"/>
    </w:p>
    <w:p w14:paraId="3FB0EA72">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color w:val="auto"/>
        </w:rPr>
      </w:pPr>
      <w:r>
        <w:rPr>
          <w:rFonts w:hint="eastAsia" w:ascii="宋体" w:hAnsi="宋体" w:eastAsia="宋体" w:cs="宋体"/>
          <w:color w:val="auto"/>
        </w:rPr>
        <w:t>名称：广西国力招标有限公司</w:t>
      </w:r>
    </w:p>
    <w:p w14:paraId="60E48E8A">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color w:val="auto"/>
        </w:rPr>
      </w:pPr>
      <w:r>
        <w:rPr>
          <w:rFonts w:hint="eastAsia" w:ascii="宋体" w:hAnsi="宋体" w:eastAsia="宋体" w:cs="宋体"/>
          <w:color w:val="auto"/>
        </w:rPr>
        <w:t>地址：广西南宁市白沙大道53号松宇时代13楼</w:t>
      </w:r>
    </w:p>
    <w:p w14:paraId="1B0B0570">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bCs/>
          <w:color w:val="auto"/>
        </w:rPr>
      </w:pPr>
      <w:bookmarkStart w:id="46" w:name="_Toc28359010"/>
      <w:bookmarkStart w:id="47" w:name="_Toc28359087"/>
      <w:r>
        <w:rPr>
          <w:rFonts w:hint="eastAsia" w:ascii="宋体" w:hAnsi="宋体" w:eastAsia="宋体" w:cs="宋体"/>
          <w:bCs/>
          <w:color w:val="auto"/>
        </w:rPr>
        <w:t>购买竞争性磋商文件联系人：</w:t>
      </w:r>
      <w:r>
        <w:rPr>
          <w:rFonts w:hint="eastAsia" w:ascii="宋体" w:hAnsi="宋体" w:eastAsia="宋体" w:cs="宋体"/>
          <w:color w:val="auto"/>
          <w:lang w:val="en-US" w:eastAsia="zh-CN"/>
        </w:rPr>
        <w:t>郑欢</w:t>
      </w:r>
      <w:r>
        <w:rPr>
          <w:rFonts w:hint="eastAsia" w:ascii="宋体" w:hAnsi="宋体" w:eastAsia="宋体" w:cs="宋体"/>
          <w:color w:val="auto"/>
        </w:rPr>
        <w:t xml:space="preserve">    </w:t>
      </w:r>
      <w:r>
        <w:rPr>
          <w:rFonts w:hint="eastAsia" w:ascii="宋体" w:hAnsi="宋体" w:eastAsia="宋体" w:cs="宋体"/>
          <w:bCs/>
          <w:color w:val="auto"/>
        </w:rPr>
        <w:t xml:space="preserve">    联系电话：0771-4915100     传真：0771-4915100</w:t>
      </w:r>
    </w:p>
    <w:p w14:paraId="540EBF2F">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color w:val="auto"/>
        </w:rPr>
      </w:pPr>
      <w:r>
        <w:rPr>
          <w:rFonts w:hint="eastAsia" w:ascii="宋体" w:hAnsi="宋体" w:eastAsia="宋体" w:cs="宋体"/>
          <w:color w:val="auto"/>
        </w:rPr>
        <w:t xml:space="preserve">保证金退付联系人：谭雯            </w:t>
      </w:r>
      <w:r>
        <w:rPr>
          <w:rFonts w:hint="eastAsia" w:ascii="宋体" w:hAnsi="宋体" w:eastAsia="宋体" w:cs="宋体"/>
          <w:color w:val="auto"/>
          <w:lang w:val="en-US" w:eastAsia="zh-CN"/>
        </w:rPr>
        <w:t xml:space="preserve"> </w:t>
      </w:r>
      <w:r>
        <w:rPr>
          <w:rFonts w:hint="eastAsia" w:ascii="宋体" w:hAnsi="宋体" w:eastAsia="宋体" w:cs="宋体"/>
          <w:color w:val="auto"/>
        </w:rPr>
        <w:t xml:space="preserve">   联系电话：0771-4915200</w:t>
      </w:r>
    </w:p>
    <w:p w14:paraId="6B490DDB">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color w:val="auto"/>
        </w:rPr>
      </w:pPr>
      <w:r>
        <w:rPr>
          <w:rFonts w:hint="eastAsia" w:ascii="宋体" w:hAnsi="宋体" w:eastAsia="宋体" w:cs="宋体"/>
          <w:color w:val="auto"/>
        </w:rPr>
        <w:t>3.项目联系方式</w:t>
      </w:r>
      <w:bookmarkEnd w:id="46"/>
      <w:bookmarkEnd w:id="47"/>
    </w:p>
    <w:p w14:paraId="6883BF6E">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color w:val="auto"/>
          <w:lang w:val="en-US"/>
        </w:rPr>
      </w:pPr>
      <w:r>
        <w:rPr>
          <w:rFonts w:hint="eastAsia" w:ascii="宋体" w:hAnsi="宋体" w:eastAsia="宋体" w:cs="宋体"/>
          <w:color w:val="auto"/>
        </w:rPr>
        <w:t>项目联系人：</w:t>
      </w:r>
      <w:r>
        <w:rPr>
          <w:rFonts w:hint="eastAsia" w:ascii="宋体" w:hAnsi="宋体" w:eastAsia="宋体" w:cs="宋体"/>
          <w:color w:val="auto"/>
          <w:lang w:val="en-US" w:eastAsia="zh-CN"/>
        </w:rPr>
        <w:t>李立妹、徐康</w:t>
      </w:r>
    </w:p>
    <w:p w14:paraId="743EC302">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color w:val="auto"/>
        </w:rPr>
      </w:pPr>
      <w:r>
        <w:rPr>
          <w:rFonts w:hint="eastAsia" w:ascii="宋体" w:hAnsi="宋体" w:eastAsia="宋体" w:cs="宋体"/>
          <w:color w:val="auto"/>
        </w:rPr>
        <w:t>电话：0771-4915558</w:t>
      </w:r>
    </w:p>
    <w:p w14:paraId="7C5C1B21">
      <w:pPr>
        <w:keepNext w:val="0"/>
        <w:keepLines w:val="0"/>
        <w:pageBreakBefore w:val="0"/>
        <w:widowControl w:val="0"/>
        <w:kinsoku/>
        <w:wordWrap/>
        <w:overflowPunct/>
        <w:topLinePunct w:val="0"/>
        <w:autoSpaceDE/>
        <w:autoSpaceDN/>
        <w:bidi w:val="0"/>
        <w:adjustRightInd/>
        <w:snapToGrid w:val="0"/>
        <w:spacing w:line="360" w:lineRule="exact"/>
        <w:ind w:left="238"/>
        <w:jc w:val="right"/>
        <w:textAlignment w:val="auto"/>
        <w:rPr>
          <w:rFonts w:hint="eastAsia" w:ascii="宋体" w:hAnsi="宋体" w:eastAsia="宋体" w:cs="宋体"/>
          <w:color w:val="auto"/>
        </w:rPr>
      </w:pPr>
      <w:r>
        <w:rPr>
          <w:rFonts w:hint="eastAsia" w:ascii="宋体" w:hAnsi="宋体" w:eastAsia="宋体" w:cs="宋体"/>
          <w:color w:val="auto"/>
        </w:rPr>
        <w:t>广西国力招标有限公司</w:t>
      </w:r>
    </w:p>
    <w:p w14:paraId="795C1D94">
      <w:pPr>
        <w:keepNext w:val="0"/>
        <w:keepLines w:val="0"/>
        <w:pageBreakBefore w:val="0"/>
        <w:widowControl w:val="0"/>
        <w:kinsoku/>
        <w:overflowPunct/>
        <w:topLinePunct w:val="0"/>
        <w:autoSpaceDE/>
        <w:autoSpaceDN/>
        <w:bidi w:val="0"/>
        <w:adjustRightInd/>
        <w:spacing w:line="360" w:lineRule="exact"/>
        <w:jc w:val="right"/>
        <w:textAlignment w:val="auto"/>
        <w:rPr>
          <w:rFonts w:ascii="宋体" w:hAnsi="宋体"/>
          <w:b/>
          <w:sz w:val="32"/>
          <w:szCs w:val="32"/>
        </w:rPr>
      </w:pPr>
      <w:r>
        <w:rPr>
          <w:rFonts w:hint="eastAsia" w:ascii="宋体" w:hAnsi="宋体" w:eastAsia="宋体" w:cs="宋体"/>
          <w:color w:val="auto"/>
          <w:szCs w:val="21"/>
          <w:u w:val="none"/>
        </w:rPr>
        <w:t>202</w:t>
      </w:r>
      <w:r>
        <w:rPr>
          <w:rFonts w:hint="eastAsia" w:ascii="宋体" w:hAnsi="宋体" w:eastAsia="宋体" w:cs="宋体"/>
          <w:color w:val="auto"/>
          <w:szCs w:val="21"/>
          <w:u w:val="none"/>
          <w:lang w:val="en-US" w:eastAsia="zh-CN"/>
        </w:rPr>
        <w:t>5</w:t>
      </w:r>
      <w:r>
        <w:rPr>
          <w:rFonts w:hint="eastAsia" w:ascii="宋体" w:hAnsi="宋体" w:eastAsia="宋体" w:cs="宋体"/>
          <w:color w:val="auto"/>
          <w:szCs w:val="21"/>
          <w:u w:val="none"/>
        </w:rPr>
        <w:t>年</w:t>
      </w:r>
      <w:r>
        <w:rPr>
          <w:rFonts w:hint="eastAsia" w:ascii="宋体" w:hAnsi="宋体" w:cs="宋体"/>
          <w:color w:val="auto"/>
          <w:szCs w:val="21"/>
          <w:u w:val="none"/>
          <w:lang w:val="en-US" w:eastAsia="zh-CN"/>
        </w:rPr>
        <w:t>11</w:t>
      </w:r>
      <w:r>
        <w:rPr>
          <w:rFonts w:hint="eastAsia" w:ascii="宋体" w:hAnsi="宋体" w:eastAsia="宋体" w:cs="宋体"/>
          <w:bCs/>
          <w:color w:val="auto"/>
          <w:szCs w:val="21"/>
          <w:u w:val="none"/>
        </w:rPr>
        <w:t>月</w:t>
      </w:r>
      <w:r>
        <w:rPr>
          <w:rFonts w:hint="eastAsia" w:ascii="宋体" w:hAnsi="宋体" w:cs="宋体"/>
          <w:bCs/>
          <w:color w:val="auto"/>
          <w:szCs w:val="21"/>
          <w:u w:val="none"/>
          <w:lang w:val="en-US" w:eastAsia="zh-CN"/>
        </w:rPr>
        <w:t>24</w:t>
      </w:r>
      <w:r>
        <w:rPr>
          <w:rFonts w:hint="eastAsia" w:ascii="宋体" w:hAnsi="宋体" w:eastAsia="宋体" w:cs="宋体"/>
          <w:bCs/>
          <w:color w:val="auto"/>
          <w:szCs w:val="21"/>
          <w:u w:val="none"/>
        </w:rPr>
        <w:t>日</w:t>
      </w:r>
      <w:r>
        <w:rPr>
          <w:rFonts w:ascii="宋体" w:hAnsi="宋体"/>
          <w:b/>
          <w:sz w:val="32"/>
          <w:szCs w:val="32"/>
        </w:rPr>
        <w:br w:type="page"/>
      </w:r>
    </w:p>
    <w:p w14:paraId="63E96F27">
      <w:pPr>
        <w:spacing w:line="400" w:lineRule="exact"/>
        <w:jc w:val="center"/>
        <w:rPr>
          <w:rFonts w:ascii="宋体" w:hAnsi="宋体"/>
          <w:b/>
          <w:sz w:val="32"/>
          <w:szCs w:val="32"/>
        </w:rPr>
      </w:pPr>
    </w:p>
    <w:p w14:paraId="64089BE7">
      <w:pPr>
        <w:spacing w:line="400" w:lineRule="exact"/>
        <w:jc w:val="center"/>
        <w:rPr>
          <w:rFonts w:ascii="宋体" w:hAnsi="宋体"/>
          <w:b/>
          <w:sz w:val="32"/>
          <w:szCs w:val="32"/>
        </w:rPr>
      </w:pPr>
    </w:p>
    <w:p w14:paraId="064C792F">
      <w:pPr>
        <w:spacing w:line="400" w:lineRule="exact"/>
        <w:jc w:val="center"/>
        <w:rPr>
          <w:rFonts w:ascii="宋体" w:hAnsi="宋体"/>
          <w:b/>
          <w:sz w:val="32"/>
          <w:szCs w:val="32"/>
        </w:rPr>
      </w:pPr>
    </w:p>
    <w:p w14:paraId="03882610">
      <w:pPr>
        <w:spacing w:line="400" w:lineRule="exact"/>
        <w:jc w:val="center"/>
        <w:rPr>
          <w:rFonts w:ascii="宋体" w:hAnsi="宋体"/>
          <w:b/>
          <w:sz w:val="32"/>
          <w:szCs w:val="32"/>
        </w:rPr>
      </w:pPr>
    </w:p>
    <w:p w14:paraId="2F6AC62D">
      <w:pPr>
        <w:spacing w:line="400" w:lineRule="exact"/>
        <w:jc w:val="center"/>
        <w:rPr>
          <w:rFonts w:ascii="宋体" w:hAnsi="宋体"/>
          <w:b/>
          <w:sz w:val="32"/>
          <w:szCs w:val="32"/>
        </w:rPr>
      </w:pPr>
    </w:p>
    <w:p w14:paraId="715E0372">
      <w:pPr>
        <w:spacing w:line="400" w:lineRule="exact"/>
        <w:jc w:val="center"/>
        <w:rPr>
          <w:rFonts w:ascii="宋体" w:hAnsi="宋体"/>
          <w:b/>
          <w:sz w:val="32"/>
          <w:szCs w:val="32"/>
        </w:rPr>
      </w:pPr>
    </w:p>
    <w:p w14:paraId="7842F2AA">
      <w:pPr>
        <w:spacing w:line="400" w:lineRule="exact"/>
        <w:jc w:val="center"/>
        <w:rPr>
          <w:rFonts w:ascii="宋体" w:hAnsi="宋体"/>
          <w:b/>
          <w:sz w:val="32"/>
          <w:szCs w:val="32"/>
        </w:rPr>
      </w:pPr>
    </w:p>
    <w:p w14:paraId="0F343B96">
      <w:pPr>
        <w:spacing w:line="400" w:lineRule="exact"/>
        <w:jc w:val="center"/>
        <w:rPr>
          <w:rFonts w:ascii="宋体" w:hAnsi="宋体"/>
          <w:b/>
          <w:sz w:val="32"/>
          <w:szCs w:val="32"/>
        </w:rPr>
      </w:pPr>
    </w:p>
    <w:p w14:paraId="4E8C8C99">
      <w:pPr>
        <w:spacing w:line="400" w:lineRule="exact"/>
        <w:jc w:val="center"/>
        <w:rPr>
          <w:rFonts w:ascii="宋体" w:hAnsi="宋体"/>
          <w:b/>
          <w:sz w:val="32"/>
          <w:szCs w:val="32"/>
        </w:rPr>
      </w:pPr>
    </w:p>
    <w:p w14:paraId="7ADC0CC2">
      <w:pPr>
        <w:spacing w:line="400" w:lineRule="exact"/>
        <w:jc w:val="center"/>
        <w:rPr>
          <w:rFonts w:ascii="宋体" w:hAnsi="宋体"/>
          <w:b/>
          <w:sz w:val="32"/>
          <w:szCs w:val="32"/>
        </w:rPr>
      </w:pPr>
    </w:p>
    <w:p w14:paraId="0A88ABD1">
      <w:pPr>
        <w:spacing w:line="400" w:lineRule="exact"/>
        <w:jc w:val="center"/>
        <w:rPr>
          <w:rFonts w:ascii="宋体" w:hAnsi="宋体"/>
          <w:b/>
          <w:sz w:val="32"/>
          <w:szCs w:val="32"/>
        </w:rPr>
      </w:pPr>
    </w:p>
    <w:p w14:paraId="7F1B40E5">
      <w:pPr>
        <w:spacing w:line="400" w:lineRule="exact"/>
        <w:rPr>
          <w:rFonts w:ascii="宋体" w:hAnsi="宋体"/>
          <w:b/>
          <w:sz w:val="32"/>
          <w:szCs w:val="32"/>
        </w:rPr>
      </w:pPr>
    </w:p>
    <w:p w14:paraId="302200D1">
      <w:pPr>
        <w:pStyle w:val="17"/>
        <w:rPr>
          <w:sz w:val="44"/>
          <w:szCs w:val="44"/>
        </w:rPr>
      </w:pPr>
      <w:bookmarkStart w:id="48" w:name="_Toc476258757"/>
      <w:bookmarkStart w:id="49" w:name="_Toc476258663"/>
      <w:r>
        <w:rPr>
          <w:rFonts w:hint="eastAsia"/>
          <w:sz w:val="44"/>
          <w:szCs w:val="44"/>
        </w:rPr>
        <w:t>第二章  磋商供应商须知</w:t>
      </w:r>
      <w:bookmarkEnd w:id="48"/>
      <w:bookmarkEnd w:id="49"/>
    </w:p>
    <w:p w14:paraId="138D8B09">
      <w:pPr>
        <w:spacing w:line="720" w:lineRule="auto"/>
        <w:jc w:val="center"/>
        <w:rPr>
          <w:rFonts w:ascii="宋体" w:hAnsi="宋体"/>
          <w:b/>
          <w:sz w:val="32"/>
          <w:szCs w:val="32"/>
        </w:rPr>
      </w:pPr>
      <w:r>
        <w:rPr>
          <w:rFonts w:ascii="宋体" w:hAnsi="宋体"/>
          <w:b/>
          <w:sz w:val="32"/>
          <w:szCs w:val="32"/>
        </w:rPr>
        <w:br w:type="page"/>
      </w:r>
      <w:r>
        <w:rPr>
          <w:rFonts w:hint="eastAsia" w:ascii="宋体" w:hAnsi="宋体"/>
          <w:b/>
          <w:sz w:val="32"/>
          <w:szCs w:val="32"/>
        </w:rPr>
        <w:t>磋商供应商须知前附表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945"/>
        <w:gridCol w:w="8106"/>
      </w:tblGrid>
      <w:tr w14:paraId="7F66E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726" w:type="dxa"/>
          </w:tcPr>
          <w:p w14:paraId="6FAAF7F9">
            <w:pPr>
              <w:pStyle w:val="28"/>
              <w:keepNext w:val="0"/>
              <w:keepLines w:val="0"/>
              <w:pageBreakBefore w:val="0"/>
              <w:widowControl w:val="0"/>
              <w:suppressLineNumbers w:val="0"/>
              <w:kinsoku/>
              <w:wordWrap/>
              <w:overflowPunct/>
              <w:topLinePunct w:val="0"/>
              <w:bidi w:val="0"/>
              <w:adjustRightInd/>
              <w:spacing w:before="0" w:beforeAutospacing="0" w:after="0" w:afterAutospacing="0" w:line="380" w:lineRule="exact"/>
              <w:ind w:left="0" w:right="0"/>
              <w:jc w:val="center"/>
              <w:rPr>
                <w:rFonts w:hint="default"/>
              </w:rPr>
            </w:pPr>
            <w:r>
              <w:rPr>
                <w:rFonts w:hint="eastAsia"/>
              </w:rPr>
              <w:t>序号</w:t>
            </w:r>
          </w:p>
        </w:tc>
        <w:tc>
          <w:tcPr>
            <w:tcW w:w="945" w:type="dxa"/>
          </w:tcPr>
          <w:p w14:paraId="414B87D8">
            <w:pPr>
              <w:pStyle w:val="28"/>
              <w:keepNext w:val="0"/>
              <w:keepLines w:val="0"/>
              <w:pageBreakBefore w:val="0"/>
              <w:widowControl w:val="0"/>
              <w:suppressLineNumbers w:val="0"/>
              <w:kinsoku/>
              <w:wordWrap/>
              <w:overflowPunct/>
              <w:topLinePunct w:val="0"/>
              <w:bidi w:val="0"/>
              <w:adjustRightInd/>
              <w:spacing w:before="0" w:beforeAutospacing="0" w:after="0" w:afterAutospacing="0" w:line="380" w:lineRule="exact"/>
              <w:ind w:left="0" w:right="0"/>
              <w:jc w:val="center"/>
              <w:rPr>
                <w:rFonts w:hint="default"/>
              </w:rPr>
            </w:pPr>
            <w:r>
              <w:rPr>
                <w:rFonts w:hint="eastAsia"/>
              </w:rPr>
              <w:t>条款号</w:t>
            </w:r>
          </w:p>
        </w:tc>
        <w:tc>
          <w:tcPr>
            <w:tcW w:w="8106" w:type="dxa"/>
          </w:tcPr>
          <w:p w14:paraId="0BC8EBF9">
            <w:pPr>
              <w:pStyle w:val="28"/>
              <w:keepNext w:val="0"/>
              <w:keepLines w:val="0"/>
              <w:pageBreakBefore w:val="0"/>
              <w:widowControl w:val="0"/>
              <w:suppressLineNumbers w:val="0"/>
              <w:kinsoku/>
              <w:wordWrap/>
              <w:overflowPunct/>
              <w:topLinePunct w:val="0"/>
              <w:bidi w:val="0"/>
              <w:adjustRightInd/>
              <w:spacing w:before="0" w:beforeAutospacing="0" w:after="0" w:afterAutospacing="0" w:line="380" w:lineRule="exact"/>
              <w:ind w:left="0" w:right="0"/>
              <w:jc w:val="center"/>
              <w:rPr>
                <w:rFonts w:hint="default"/>
              </w:rPr>
            </w:pPr>
            <w:r>
              <w:rPr>
                <w:rFonts w:hint="eastAsia"/>
              </w:rPr>
              <w:t>内    容</w:t>
            </w:r>
          </w:p>
        </w:tc>
      </w:tr>
      <w:tr w14:paraId="5403E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726" w:type="dxa"/>
            <w:vAlign w:val="center"/>
          </w:tcPr>
          <w:p w14:paraId="1CF848F7">
            <w:pPr>
              <w:pStyle w:val="28"/>
              <w:keepNext w:val="0"/>
              <w:keepLines w:val="0"/>
              <w:pageBreakBefore w:val="0"/>
              <w:widowControl w:val="0"/>
              <w:numPr>
                <w:ilvl w:val="0"/>
                <w:numId w:val="2"/>
              </w:numPr>
              <w:suppressLineNumbers w:val="0"/>
              <w:kinsoku/>
              <w:wordWrap/>
              <w:overflowPunct/>
              <w:topLinePunct w:val="0"/>
              <w:bidi w:val="0"/>
              <w:adjustRightInd/>
              <w:spacing w:before="0" w:beforeAutospacing="0" w:after="0" w:afterAutospacing="0" w:line="380" w:lineRule="exact"/>
              <w:ind w:right="0"/>
              <w:jc w:val="center"/>
              <w:rPr>
                <w:rFonts w:hint="default"/>
              </w:rPr>
            </w:pPr>
          </w:p>
        </w:tc>
        <w:tc>
          <w:tcPr>
            <w:tcW w:w="945" w:type="dxa"/>
            <w:vAlign w:val="center"/>
          </w:tcPr>
          <w:p w14:paraId="4743C145">
            <w:pPr>
              <w:pStyle w:val="28"/>
              <w:keepNext w:val="0"/>
              <w:keepLines w:val="0"/>
              <w:pageBreakBefore w:val="0"/>
              <w:widowControl w:val="0"/>
              <w:suppressLineNumbers w:val="0"/>
              <w:kinsoku/>
              <w:wordWrap/>
              <w:overflowPunct/>
              <w:topLinePunct w:val="0"/>
              <w:bidi w:val="0"/>
              <w:adjustRightInd/>
              <w:spacing w:before="0" w:beforeAutospacing="0" w:after="0" w:afterAutospacing="0" w:line="380" w:lineRule="exact"/>
              <w:ind w:left="0" w:right="0"/>
              <w:jc w:val="center"/>
              <w:rPr>
                <w:rFonts w:hint="default"/>
              </w:rPr>
            </w:pPr>
            <w:r>
              <w:rPr>
                <w:rFonts w:hint="eastAsia"/>
              </w:rPr>
              <w:t>2.1</w:t>
            </w:r>
          </w:p>
        </w:tc>
        <w:tc>
          <w:tcPr>
            <w:tcW w:w="8106" w:type="dxa"/>
            <w:vAlign w:val="center"/>
          </w:tcPr>
          <w:p w14:paraId="38AC036B">
            <w:pPr>
              <w:pStyle w:val="28"/>
              <w:keepNext w:val="0"/>
              <w:keepLines w:val="0"/>
              <w:pageBreakBefore w:val="0"/>
              <w:widowControl w:val="0"/>
              <w:suppressLineNumbers w:val="0"/>
              <w:kinsoku/>
              <w:wordWrap/>
              <w:overflowPunct/>
              <w:topLinePunct w:val="0"/>
              <w:bidi w:val="0"/>
              <w:adjustRightInd/>
              <w:spacing w:before="0" w:beforeAutospacing="0" w:after="0" w:afterAutospacing="0" w:line="380" w:lineRule="exact"/>
              <w:ind w:left="0" w:right="0"/>
              <w:rPr>
                <w:rFonts w:hint="eastAsia" w:hAnsi="宋体"/>
                <w:lang w:eastAsia="zh-CN"/>
              </w:rPr>
            </w:pPr>
            <w:r>
              <w:rPr>
                <w:rFonts w:hint="eastAsia"/>
              </w:rPr>
              <w:t>采购项目名称：</w:t>
            </w:r>
            <w:r>
              <w:rPr>
                <w:rFonts w:hint="eastAsia" w:hAnsi="宋体"/>
                <w:lang w:eastAsia="zh-CN"/>
              </w:rPr>
              <w:t>南宁市2025年公办普惠托育机构能力提升项目</w:t>
            </w:r>
          </w:p>
          <w:p w14:paraId="4EFB5F3B">
            <w:pPr>
              <w:pStyle w:val="28"/>
              <w:keepNext w:val="0"/>
              <w:keepLines w:val="0"/>
              <w:pageBreakBefore w:val="0"/>
              <w:widowControl w:val="0"/>
              <w:suppressLineNumbers w:val="0"/>
              <w:kinsoku/>
              <w:wordWrap/>
              <w:overflowPunct/>
              <w:topLinePunct w:val="0"/>
              <w:bidi w:val="0"/>
              <w:adjustRightInd/>
              <w:spacing w:before="0" w:beforeAutospacing="0" w:after="0" w:afterAutospacing="0" w:line="380" w:lineRule="exact"/>
              <w:ind w:left="0" w:right="0"/>
              <w:rPr>
                <w:rFonts w:hint="eastAsia" w:hAnsi="宋体" w:eastAsia="宋体"/>
                <w:bCs/>
                <w:szCs w:val="21"/>
                <w:lang w:eastAsia="zh-CN"/>
              </w:rPr>
            </w:pPr>
            <w:r>
              <w:rPr>
                <w:rFonts w:hint="eastAsia"/>
              </w:rPr>
              <w:t>采购项目编号：</w:t>
            </w:r>
            <w:r>
              <w:rPr>
                <w:rFonts w:hint="eastAsia" w:hAnsi="宋体"/>
                <w:bCs/>
                <w:szCs w:val="21"/>
                <w:lang w:eastAsia="zh-CN"/>
              </w:rPr>
              <w:t>GXGL2025S-C617-Z</w:t>
            </w:r>
          </w:p>
        </w:tc>
      </w:tr>
      <w:tr w14:paraId="47A62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vAlign w:val="center"/>
          </w:tcPr>
          <w:p w14:paraId="1B118E52">
            <w:pPr>
              <w:pStyle w:val="28"/>
              <w:keepNext w:val="0"/>
              <w:keepLines w:val="0"/>
              <w:pageBreakBefore w:val="0"/>
              <w:widowControl w:val="0"/>
              <w:numPr>
                <w:ilvl w:val="0"/>
                <w:numId w:val="2"/>
              </w:numPr>
              <w:suppressLineNumbers w:val="0"/>
              <w:kinsoku/>
              <w:wordWrap/>
              <w:overflowPunct/>
              <w:topLinePunct w:val="0"/>
              <w:bidi w:val="0"/>
              <w:adjustRightInd/>
              <w:spacing w:before="0" w:beforeAutospacing="0" w:after="0" w:afterAutospacing="0" w:line="380" w:lineRule="exact"/>
              <w:ind w:right="0"/>
              <w:jc w:val="center"/>
              <w:rPr>
                <w:rFonts w:hint="default"/>
              </w:rPr>
            </w:pPr>
          </w:p>
        </w:tc>
        <w:tc>
          <w:tcPr>
            <w:tcW w:w="945" w:type="dxa"/>
            <w:vAlign w:val="center"/>
          </w:tcPr>
          <w:p w14:paraId="79DC96EC">
            <w:pPr>
              <w:pStyle w:val="28"/>
              <w:keepNext w:val="0"/>
              <w:keepLines w:val="0"/>
              <w:pageBreakBefore w:val="0"/>
              <w:widowControl w:val="0"/>
              <w:suppressLineNumbers w:val="0"/>
              <w:kinsoku/>
              <w:wordWrap/>
              <w:overflowPunct/>
              <w:topLinePunct w:val="0"/>
              <w:bidi w:val="0"/>
              <w:adjustRightInd/>
              <w:spacing w:before="0" w:beforeAutospacing="0" w:after="0" w:afterAutospacing="0" w:line="380" w:lineRule="exact"/>
              <w:ind w:left="0" w:right="0"/>
              <w:jc w:val="center"/>
              <w:rPr>
                <w:rFonts w:hint="default"/>
              </w:rPr>
            </w:pPr>
            <w:r>
              <w:rPr>
                <w:rFonts w:hint="eastAsia"/>
              </w:rPr>
              <w:t>3</w:t>
            </w:r>
          </w:p>
        </w:tc>
        <w:tc>
          <w:tcPr>
            <w:tcW w:w="8106" w:type="dxa"/>
            <w:vAlign w:val="center"/>
          </w:tcPr>
          <w:p w14:paraId="7D5E5A3A">
            <w:pPr>
              <w:pStyle w:val="28"/>
              <w:keepNext w:val="0"/>
              <w:keepLines w:val="0"/>
              <w:pageBreakBefore w:val="0"/>
              <w:widowControl w:val="0"/>
              <w:suppressLineNumbers w:val="0"/>
              <w:kinsoku/>
              <w:wordWrap/>
              <w:overflowPunct/>
              <w:topLinePunct w:val="0"/>
              <w:bidi w:val="0"/>
              <w:adjustRightInd/>
              <w:spacing w:before="0" w:beforeAutospacing="0" w:after="0" w:afterAutospacing="0" w:line="380" w:lineRule="exact"/>
              <w:ind w:left="-36" w:right="0" w:firstLine="36"/>
              <w:rPr>
                <w:rFonts w:hint="default"/>
              </w:rPr>
            </w:pPr>
            <w:r>
              <w:rPr>
                <w:rFonts w:hint="eastAsia"/>
              </w:rPr>
              <w:t>3.1 供应商资格：按第一章磋商公告第二条规定。</w:t>
            </w:r>
          </w:p>
        </w:tc>
      </w:tr>
      <w:tr w14:paraId="05568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vAlign w:val="center"/>
          </w:tcPr>
          <w:p w14:paraId="095A0107">
            <w:pPr>
              <w:pStyle w:val="28"/>
              <w:keepNext w:val="0"/>
              <w:keepLines w:val="0"/>
              <w:pageBreakBefore w:val="0"/>
              <w:widowControl w:val="0"/>
              <w:numPr>
                <w:ilvl w:val="0"/>
                <w:numId w:val="2"/>
              </w:numPr>
              <w:suppressLineNumbers w:val="0"/>
              <w:kinsoku/>
              <w:wordWrap/>
              <w:overflowPunct/>
              <w:topLinePunct w:val="0"/>
              <w:bidi w:val="0"/>
              <w:adjustRightInd/>
              <w:spacing w:before="0" w:beforeAutospacing="0" w:after="0" w:afterAutospacing="0" w:line="380" w:lineRule="exact"/>
              <w:ind w:right="0"/>
              <w:jc w:val="center"/>
              <w:rPr>
                <w:rFonts w:hint="default"/>
              </w:rPr>
            </w:pPr>
          </w:p>
        </w:tc>
        <w:tc>
          <w:tcPr>
            <w:tcW w:w="945" w:type="dxa"/>
            <w:vAlign w:val="center"/>
          </w:tcPr>
          <w:p w14:paraId="167043E4">
            <w:pPr>
              <w:pStyle w:val="28"/>
              <w:keepNext w:val="0"/>
              <w:keepLines w:val="0"/>
              <w:pageBreakBefore w:val="0"/>
              <w:widowControl w:val="0"/>
              <w:suppressLineNumbers w:val="0"/>
              <w:kinsoku/>
              <w:wordWrap/>
              <w:overflowPunct/>
              <w:topLinePunct w:val="0"/>
              <w:bidi w:val="0"/>
              <w:adjustRightInd/>
              <w:spacing w:before="0" w:beforeAutospacing="0" w:after="0" w:afterAutospacing="0" w:line="380" w:lineRule="exact"/>
              <w:ind w:left="0" w:right="0"/>
              <w:jc w:val="center"/>
              <w:rPr>
                <w:rFonts w:hint="default"/>
              </w:rPr>
            </w:pPr>
            <w:r>
              <w:rPr>
                <w:rFonts w:hint="eastAsia"/>
              </w:rPr>
              <w:t>7.4</w:t>
            </w:r>
          </w:p>
        </w:tc>
        <w:tc>
          <w:tcPr>
            <w:tcW w:w="8106" w:type="dxa"/>
            <w:vAlign w:val="center"/>
          </w:tcPr>
          <w:p w14:paraId="1941A7B0">
            <w:pPr>
              <w:keepNext w:val="0"/>
              <w:keepLines w:val="0"/>
              <w:pageBreakBefore w:val="0"/>
              <w:widowControl w:val="0"/>
              <w:suppressLineNumbers w:val="0"/>
              <w:kinsoku/>
              <w:wordWrap/>
              <w:overflowPunct/>
              <w:topLinePunct w:val="0"/>
              <w:bidi w:val="0"/>
              <w:adjustRightInd/>
              <w:spacing w:before="0" w:beforeAutospacing="0" w:after="0" w:afterAutospacing="0" w:line="380" w:lineRule="exact"/>
              <w:ind w:left="0" w:right="0"/>
              <w:rPr>
                <w:rFonts w:hint="default" w:ascii="宋体" w:hAnsi="宋体"/>
                <w:szCs w:val="21"/>
              </w:rPr>
            </w:pPr>
            <w:r>
              <w:rPr>
                <w:rFonts w:hint="eastAsia"/>
              </w:rPr>
              <w:t>磋商报价：供应商必须就所竞项目的全部内容作完整唯一报价，漏项报价的或有选择的或有条件的报价，其响应文件将视为无效。</w:t>
            </w:r>
          </w:p>
        </w:tc>
      </w:tr>
      <w:tr w14:paraId="3C7A4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vAlign w:val="center"/>
          </w:tcPr>
          <w:p w14:paraId="3C1FD6EA">
            <w:pPr>
              <w:pStyle w:val="28"/>
              <w:keepNext w:val="0"/>
              <w:keepLines w:val="0"/>
              <w:pageBreakBefore w:val="0"/>
              <w:widowControl w:val="0"/>
              <w:numPr>
                <w:ilvl w:val="0"/>
                <w:numId w:val="2"/>
              </w:numPr>
              <w:suppressLineNumbers w:val="0"/>
              <w:kinsoku/>
              <w:wordWrap/>
              <w:overflowPunct/>
              <w:topLinePunct w:val="0"/>
              <w:bidi w:val="0"/>
              <w:adjustRightInd/>
              <w:spacing w:before="0" w:beforeAutospacing="0" w:after="0" w:afterAutospacing="0" w:line="380" w:lineRule="exact"/>
              <w:ind w:right="0"/>
              <w:jc w:val="center"/>
              <w:rPr>
                <w:rFonts w:hint="default"/>
              </w:rPr>
            </w:pPr>
          </w:p>
        </w:tc>
        <w:tc>
          <w:tcPr>
            <w:tcW w:w="945" w:type="dxa"/>
            <w:vAlign w:val="center"/>
          </w:tcPr>
          <w:p w14:paraId="6BD33BCD">
            <w:pPr>
              <w:pStyle w:val="28"/>
              <w:keepNext w:val="0"/>
              <w:keepLines w:val="0"/>
              <w:pageBreakBefore w:val="0"/>
              <w:widowControl w:val="0"/>
              <w:suppressLineNumbers w:val="0"/>
              <w:kinsoku/>
              <w:wordWrap/>
              <w:overflowPunct/>
              <w:topLinePunct w:val="0"/>
              <w:bidi w:val="0"/>
              <w:adjustRightInd/>
              <w:spacing w:before="0" w:beforeAutospacing="0" w:after="0" w:afterAutospacing="0" w:line="380" w:lineRule="exact"/>
              <w:ind w:left="0" w:right="0"/>
              <w:jc w:val="center"/>
              <w:rPr>
                <w:rFonts w:hint="default"/>
              </w:rPr>
            </w:pPr>
            <w:r>
              <w:rPr>
                <w:rFonts w:hint="eastAsia"/>
              </w:rPr>
              <w:t>19.1</w:t>
            </w:r>
          </w:p>
        </w:tc>
        <w:tc>
          <w:tcPr>
            <w:tcW w:w="8106" w:type="dxa"/>
            <w:vAlign w:val="center"/>
          </w:tcPr>
          <w:p w14:paraId="0FB0A3A8">
            <w:pPr>
              <w:keepNext w:val="0"/>
              <w:keepLines w:val="0"/>
              <w:pageBreakBefore w:val="0"/>
              <w:widowControl w:val="0"/>
              <w:suppressLineNumbers w:val="0"/>
              <w:kinsoku/>
              <w:wordWrap/>
              <w:overflowPunct/>
              <w:topLinePunct w:val="0"/>
              <w:bidi w:val="0"/>
              <w:adjustRightInd/>
              <w:spacing w:before="0" w:beforeAutospacing="0" w:after="0" w:afterAutospacing="0" w:line="380" w:lineRule="exact"/>
              <w:ind w:left="0" w:right="0"/>
              <w:rPr>
                <w:rFonts w:hint="default" w:ascii="宋体" w:hAnsi="宋体"/>
              </w:rPr>
            </w:pPr>
            <w:r>
              <w:rPr>
                <w:rFonts w:hint="eastAsia" w:ascii="宋体" w:hAnsi="宋体"/>
              </w:rPr>
              <w:t>成交服务费：本项目的成交服务费按本须知19.1款规定的标准采用差额定率累进计费方式计取，由成交供应商在发布成交结果公告后，一次性向采购代理机构支付。</w:t>
            </w:r>
          </w:p>
        </w:tc>
      </w:tr>
      <w:tr w14:paraId="08F26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726" w:type="dxa"/>
            <w:vAlign w:val="center"/>
          </w:tcPr>
          <w:p w14:paraId="2FE87400">
            <w:pPr>
              <w:pStyle w:val="28"/>
              <w:keepNext w:val="0"/>
              <w:keepLines w:val="0"/>
              <w:pageBreakBefore w:val="0"/>
              <w:widowControl w:val="0"/>
              <w:numPr>
                <w:ilvl w:val="0"/>
                <w:numId w:val="2"/>
              </w:numPr>
              <w:suppressLineNumbers w:val="0"/>
              <w:kinsoku/>
              <w:wordWrap/>
              <w:overflowPunct/>
              <w:topLinePunct w:val="0"/>
              <w:bidi w:val="0"/>
              <w:adjustRightInd/>
              <w:spacing w:before="0" w:beforeAutospacing="0" w:after="0" w:afterAutospacing="0" w:line="380" w:lineRule="exact"/>
              <w:ind w:right="0"/>
              <w:jc w:val="center"/>
              <w:rPr>
                <w:rFonts w:hint="default"/>
              </w:rPr>
            </w:pPr>
          </w:p>
        </w:tc>
        <w:tc>
          <w:tcPr>
            <w:tcW w:w="945" w:type="dxa"/>
            <w:vAlign w:val="center"/>
          </w:tcPr>
          <w:p w14:paraId="7C2450D2">
            <w:pPr>
              <w:pStyle w:val="28"/>
              <w:keepNext w:val="0"/>
              <w:keepLines w:val="0"/>
              <w:pageBreakBefore w:val="0"/>
              <w:widowControl w:val="0"/>
              <w:suppressLineNumbers w:val="0"/>
              <w:kinsoku/>
              <w:wordWrap/>
              <w:overflowPunct/>
              <w:topLinePunct w:val="0"/>
              <w:bidi w:val="0"/>
              <w:adjustRightInd/>
              <w:spacing w:before="0" w:beforeAutospacing="0" w:after="0" w:afterAutospacing="0" w:line="380" w:lineRule="exact"/>
              <w:ind w:left="0" w:right="0"/>
              <w:jc w:val="center"/>
              <w:rPr>
                <w:rFonts w:hint="default"/>
              </w:rPr>
            </w:pPr>
            <w:r>
              <w:rPr>
                <w:rFonts w:hint="eastAsia"/>
              </w:rPr>
              <w:t>10.2</w:t>
            </w:r>
          </w:p>
        </w:tc>
        <w:tc>
          <w:tcPr>
            <w:tcW w:w="8106" w:type="dxa"/>
            <w:vAlign w:val="center"/>
          </w:tcPr>
          <w:p w14:paraId="7F8BE4C2">
            <w:pPr>
              <w:pStyle w:val="10"/>
              <w:keepNext w:val="0"/>
              <w:keepLines w:val="0"/>
              <w:pageBreakBefore w:val="0"/>
              <w:widowControl w:val="0"/>
              <w:suppressLineNumbers w:val="0"/>
              <w:kinsoku/>
              <w:wordWrap/>
              <w:overflowPunct/>
              <w:topLinePunct w:val="0"/>
              <w:bidi w:val="0"/>
              <w:adjustRightInd/>
              <w:spacing w:before="0" w:beforeAutospacing="0" w:after="0" w:afterAutospacing="0" w:line="380" w:lineRule="exact"/>
              <w:ind w:left="0" w:right="0"/>
              <w:rPr>
                <w:rFonts w:hint="default" w:hAnsi="宋体"/>
              </w:rPr>
            </w:pPr>
            <w:r>
              <w:rPr>
                <w:rFonts w:hint="eastAsia"/>
              </w:rPr>
              <w:t>响应文件份数：正本</w:t>
            </w:r>
            <w:r>
              <w:rPr>
                <w:rFonts w:hint="eastAsia"/>
                <w:u w:val="single"/>
              </w:rPr>
              <w:t>一</w:t>
            </w:r>
            <w:r>
              <w:rPr>
                <w:rFonts w:hint="eastAsia"/>
              </w:rPr>
              <w:t>份，副本</w:t>
            </w:r>
            <w:r>
              <w:rPr>
                <w:rFonts w:hint="eastAsia"/>
                <w:u w:val="single"/>
              </w:rPr>
              <w:t>四</w:t>
            </w:r>
            <w:r>
              <w:rPr>
                <w:rFonts w:hint="eastAsia"/>
              </w:rPr>
              <w:t>份</w:t>
            </w:r>
            <w:r>
              <w:rPr>
                <w:rFonts w:hint="eastAsia" w:hAnsi="宋体"/>
              </w:rPr>
              <w:t>。供应商在递交响应文件时，同时递交响应文件电子版。</w:t>
            </w:r>
          </w:p>
          <w:p w14:paraId="3D2AA1C3">
            <w:pPr>
              <w:pStyle w:val="10"/>
              <w:keepNext w:val="0"/>
              <w:keepLines w:val="0"/>
              <w:pageBreakBefore w:val="0"/>
              <w:widowControl w:val="0"/>
              <w:suppressLineNumbers w:val="0"/>
              <w:kinsoku/>
              <w:wordWrap/>
              <w:overflowPunct/>
              <w:topLinePunct w:val="0"/>
              <w:bidi w:val="0"/>
              <w:adjustRightInd/>
              <w:spacing w:before="0" w:beforeAutospacing="0" w:after="0" w:afterAutospacing="0" w:line="380" w:lineRule="exact"/>
              <w:ind w:left="0" w:right="0"/>
              <w:rPr>
                <w:rFonts w:hint="default" w:hAnsi="宋体"/>
              </w:rPr>
            </w:pPr>
            <w:r>
              <w:rPr>
                <w:rFonts w:hint="eastAsia" w:hAnsi="宋体"/>
              </w:rPr>
              <w:t>1、响应文件电子版份数：1份。</w:t>
            </w:r>
          </w:p>
          <w:p w14:paraId="10D7F380">
            <w:pPr>
              <w:pStyle w:val="10"/>
              <w:keepNext w:val="0"/>
              <w:keepLines w:val="0"/>
              <w:pageBreakBefore w:val="0"/>
              <w:widowControl w:val="0"/>
              <w:suppressLineNumbers w:val="0"/>
              <w:kinsoku/>
              <w:wordWrap/>
              <w:overflowPunct/>
              <w:topLinePunct w:val="0"/>
              <w:bidi w:val="0"/>
              <w:adjustRightInd/>
              <w:spacing w:before="0" w:beforeAutospacing="0" w:after="0" w:afterAutospacing="0" w:line="380" w:lineRule="exact"/>
              <w:ind w:left="0" w:right="0"/>
              <w:rPr>
                <w:rFonts w:hint="default" w:hAnsi="宋体"/>
              </w:rPr>
            </w:pPr>
            <w:r>
              <w:rPr>
                <w:rFonts w:hint="eastAsia" w:hAnsi="宋体"/>
              </w:rPr>
              <w:t>2、响应文件电子版形式：可编辑的word文档格式</w:t>
            </w:r>
            <w:r>
              <w:rPr>
                <w:rFonts w:hint="eastAsia" w:hAnsi="宋体"/>
                <w:lang w:eastAsia="zh-CN"/>
              </w:rPr>
              <w:t>、</w:t>
            </w:r>
            <w:r>
              <w:rPr>
                <w:rFonts w:hint="eastAsia" w:hAnsi="宋体"/>
                <w:lang w:val="en-US" w:eastAsia="zh-CN"/>
              </w:rPr>
              <w:t>已签字盖章的扫描件PDF格式</w:t>
            </w:r>
            <w:r>
              <w:rPr>
                <w:rFonts w:hint="eastAsia" w:hAnsi="宋体"/>
              </w:rPr>
              <w:t>。</w:t>
            </w:r>
          </w:p>
          <w:p w14:paraId="5500DE24">
            <w:pPr>
              <w:pStyle w:val="10"/>
              <w:keepNext w:val="0"/>
              <w:keepLines w:val="0"/>
              <w:pageBreakBefore w:val="0"/>
              <w:widowControl w:val="0"/>
              <w:suppressLineNumbers w:val="0"/>
              <w:kinsoku/>
              <w:wordWrap/>
              <w:overflowPunct/>
              <w:topLinePunct w:val="0"/>
              <w:bidi w:val="0"/>
              <w:adjustRightInd/>
              <w:spacing w:before="0" w:beforeAutospacing="0" w:after="0" w:afterAutospacing="0" w:line="380" w:lineRule="exact"/>
              <w:ind w:left="0" w:right="0"/>
              <w:rPr>
                <w:rFonts w:hint="default" w:hAnsi="宋体"/>
              </w:rPr>
            </w:pPr>
            <w:r>
              <w:rPr>
                <w:rFonts w:hint="eastAsia" w:hAnsi="宋体"/>
              </w:rPr>
              <w:t>3、响应文件电子版密封方式：将响应文件电子版光盘或U盘与纸质版响应文件一并装入响应文件袋中。</w:t>
            </w:r>
          </w:p>
        </w:tc>
      </w:tr>
      <w:tr w14:paraId="6B51B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726" w:type="dxa"/>
            <w:vAlign w:val="center"/>
          </w:tcPr>
          <w:p w14:paraId="348AFD01">
            <w:pPr>
              <w:pStyle w:val="28"/>
              <w:keepNext w:val="0"/>
              <w:keepLines w:val="0"/>
              <w:pageBreakBefore w:val="0"/>
              <w:widowControl w:val="0"/>
              <w:numPr>
                <w:ilvl w:val="0"/>
                <w:numId w:val="2"/>
              </w:numPr>
              <w:suppressLineNumbers w:val="0"/>
              <w:kinsoku/>
              <w:wordWrap/>
              <w:overflowPunct/>
              <w:topLinePunct w:val="0"/>
              <w:bidi w:val="0"/>
              <w:adjustRightInd/>
              <w:spacing w:before="0" w:beforeAutospacing="0" w:after="0" w:afterAutospacing="0" w:line="380" w:lineRule="exact"/>
              <w:ind w:right="0"/>
              <w:jc w:val="center"/>
              <w:rPr>
                <w:rFonts w:hint="default"/>
              </w:rPr>
            </w:pPr>
          </w:p>
        </w:tc>
        <w:tc>
          <w:tcPr>
            <w:tcW w:w="945" w:type="dxa"/>
            <w:vAlign w:val="center"/>
          </w:tcPr>
          <w:p w14:paraId="3AC5B65D">
            <w:pPr>
              <w:pStyle w:val="28"/>
              <w:keepNext w:val="0"/>
              <w:keepLines w:val="0"/>
              <w:pageBreakBefore w:val="0"/>
              <w:widowControl w:val="0"/>
              <w:suppressLineNumbers w:val="0"/>
              <w:kinsoku/>
              <w:wordWrap/>
              <w:overflowPunct/>
              <w:topLinePunct w:val="0"/>
              <w:bidi w:val="0"/>
              <w:adjustRightInd/>
              <w:spacing w:before="0" w:beforeAutospacing="0" w:after="0" w:afterAutospacing="0" w:line="380" w:lineRule="exact"/>
              <w:ind w:left="0" w:right="0"/>
              <w:jc w:val="center"/>
              <w:rPr>
                <w:rFonts w:hint="default"/>
              </w:rPr>
            </w:pPr>
            <w:r>
              <w:rPr>
                <w:rFonts w:hint="eastAsia"/>
              </w:rPr>
              <w:t>11.1</w:t>
            </w:r>
          </w:p>
          <w:p w14:paraId="6B4465AC">
            <w:pPr>
              <w:pStyle w:val="10"/>
              <w:keepNext w:val="0"/>
              <w:keepLines w:val="0"/>
              <w:pageBreakBefore w:val="0"/>
              <w:widowControl w:val="0"/>
              <w:suppressLineNumbers w:val="0"/>
              <w:kinsoku/>
              <w:wordWrap/>
              <w:overflowPunct/>
              <w:topLinePunct w:val="0"/>
              <w:bidi w:val="0"/>
              <w:adjustRightInd/>
              <w:spacing w:before="0" w:beforeAutospacing="0" w:after="0" w:afterAutospacing="0" w:line="380" w:lineRule="exact"/>
              <w:ind w:left="0" w:right="0"/>
              <w:jc w:val="center"/>
              <w:rPr>
                <w:rFonts w:hint="default"/>
              </w:rPr>
            </w:pPr>
            <w:r>
              <w:rPr>
                <w:rFonts w:hint="eastAsia"/>
              </w:rPr>
              <w:t>11.2</w:t>
            </w:r>
          </w:p>
        </w:tc>
        <w:tc>
          <w:tcPr>
            <w:tcW w:w="8106" w:type="dxa"/>
            <w:vAlign w:val="center"/>
          </w:tcPr>
          <w:p w14:paraId="14033713">
            <w:pPr>
              <w:pStyle w:val="28"/>
              <w:keepNext w:val="0"/>
              <w:keepLines w:val="0"/>
              <w:pageBreakBefore w:val="0"/>
              <w:widowControl w:val="0"/>
              <w:suppressLineNumbers w:val="0"/>
              <w:kinsoku/>
              <w:wordWrap/>
              <w:overflowPunct/>
              <w:topLinePunct w:val="0"/>
              <w:bidi w:val="0"/>
              <w:adjustRightInd/>
              <w:spacing w:before="0" w:beforeAutospacing="0" w:after="0" w:afterAutospacing="0" w:line="380" w:lineRule="exact"/>
              <w:ind w:left="0" w:right="0"/>
              <w:rPr>
                <w:rFonts w:hint="default"/>
                <w:bCs/>
              </w:rPr>
            </w:pPr>
            <w:r>
              <w:rPr>
                <w:rFonts w:hint="eastAsia"/>
              </w:rPr>
              <w:t>响应文件递交截止时间：</w:t>
            </w:r>
            <w:r>
              <w:rPr>
                <w:rFonts w:hint="eastAsia" w:hAnsi="宋体"/>
                <w:szCs w:val="21"/>
                <w:u w:val="single"/>
              </w:rPr>
              <w:t>详见磋商公告</w:t>
            </w:r>
          </w:p>
          <w:p w14:paraId="5DC9D5AC">
            <w:pPr>
              <w:pStyle w:val="10"/>
              <w:keepNext w:val="0"/>
              <w:keepLines w:val="0"/>
              <w:pageBreakBefore w:val="0"/>
              <w:widowControl w:val="0"/>
              <w:suppressLineNumbers w:val="0"/>
              <w:kinsoku/>
              <w:wordWrap/>
              <w:overflowPunct/>
              <w:topLinePunct w:val="0"/>
              <w:bidi w:val="0"/>
              <w:adjustRightInd/>
              <w:spacing w:before="0" w:beforeAutospacing="0" w:after="0" w:afterAutospacing="0" w:line="380" w:lineRule="exact"/>
              <w:ind w:left="0" w:right="0"/>
              <w:rPr>
                <w:rFonts w:hint="default"/>
              </w:rPr>
            </w:pPr>
            <w:r>
              <w:rPr>
                <w:rFonts w:hint="eastAsia"/>
              </w:rPr>
              <w:t>响应文件递交地址：</w:t>
            </w:r>
            <w:r>
              <w:rPr>
                <w:rFonts w:hint="eastAsia" w:hAnsi="宋体"/>
                <w:u w:val="single"/>
              </w:rPr>
              <w:t>详见磋商公告</w:t>
            </w:r>
          </w:p>
        </w:tc>
      </w:tr>
      <w:tr w14:paraId="5064A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26" w:type="dxa"/>
            <w:vAlign w:val="center"/>
          </w:tcPr>
          <w:p w14:paraId="29B5013E">
            <w:pPr>
              <w:pStyle w:val="28"/>
              <w:keepNext w:val="0"/>
              <w:keepLines w:val="0"/>
              <w:pageBreakBefore w:val="0"/>
              <w:widowControl w:val="0"/>
              <w:numPr>
                <w:ilvl w:val="0"/>
                <w:numId w:val="2"/>
              </w:numPr>
              <w:suppressLineNumbers w:val="0"/>
              <w:kinsoku/>
              <w:wordWrap/>
              <w:overflowPunct/>
              <w:topLinePunct w:val="0"/>
              <w:bidi w:val="0"/>
              <w:adjustRightInd/>
              <w:spacing w:before="0" w:beforeAutospacing="0" w:after="0" w:afterAutospacing="0" w:line="380" w:lineRule="exact"/>
              <w:ind w:right="0"/>
              <w:jc w:val="center"/>
              <w:rPr>
                <w:rFonts w:hint="default"/>
              </w:rPr>
            </w:pPr>
          </w:p>
        </w:tc>
        <w:tc>
          <w:tcPr>
            <w:tcW w:w="945" w:type="dxa"/>
            <w:vAlign w:val="center"/>
          </w:tcPr>
          <w:p w14:paraId="2B6F1982">
            <w:pPr>
              <w:pStyle w:val="10"/>
              <w:keepNext w:val="0"/>
              <w:keepLines w:val="0"/>
              <w:pageBreakBefore w:val="0"/>
              <w:widowControl w:val="0"/>
              <w:suppressLineNumbers w:val="0"/>
              <w:kinsoku/>
              <w:wordWrap/>
              <w:overflowPunct/>
              <w:topLinePunct w:val="0"/>
              <w:bidi w:val="0"/>
              <w:adjustRightInd/>
              <w:spacing w:before="0" w:beforeAutospacing="0" w:after="0" w:afterAutospacing="0" w:line="380" w:lineRule="exact"/>
              <w:ind w:left="0" w:right="0"/>
              <w:jc w:val="center"/>
              <w:rPr>
                <w:rFonts w:hint="default"/>
              </w:rPr>
            </w:pPr>
            <w:r>
              <w:rPr>
                <w:rFonts w:hint="eastAsia"/>
              </w:rPr>
              <w:t>8.1</w:t>
            </w:r>
          </w:p>
        </w:tc>
        <w:tc>
          <w:tcPr>
            <w:tcW w:w="8106" w:type="dxa"/>
            <w:vAlign w:val="center"/>
          </w:tcPr>
          <w:p w14:paraId="1DF6DD18">
            <w:pPr>
              <w:pStyle w:val="28"/>
              <w:keepNext w:val="0"/>
              <w:keepLines w:val="0"/>
              <w:pageBreakBefore w:val="0"/>
              <w:widowControl w:val="0"/>
              <w:suppressLineNumbers w:val="0"/>
              <w:kinsoku/>
              <w:wordWrap/>
              <w:overflowPunct/>
              <w:topLinePunct w:val="0"/>
              <w:bidi w:val="0"/>
              <w:adjustRightInd/>
              <w:spacing w:before="0" w:beforeAutospacing="0" w:after="0" w:afterAutospacing="0" w:line="380" w:lineRule="exact"/>
              <w:ind w:left="0" w:right="0"/>
              <w:rPr>
                <w:rFonts w:hint="default"/>
              </w:rPr>
            </w:pPr>
            <w:r>
              <w:rPr>
                <w:rFonts w:hint="eastAsia"/>
              </w:rPr>
              <w:t>竞争性磋商响应文件有效期：响应文件递交截止日期后六十日。</w:t>
            </w:r>
          </w:p>
          <w:p w14:paraId="799E6EC6">
            <w:pPr>
              <w:pStyle w:val="10"/>
              <w:keepNext w:val="0"/>
              <w:keepLines w:val="0"/>
              <w:pageBreakBefore w:val="0"/>
              <w:widowControl w:val="0"/>
              <w:suppressLineNumbers w:val="0"/>
              <w:kinsoku/>
              <w:wordWrap/>
              <w:overflowPunct/>
              <w:topLinePunct w:val="0"/>
              <w:bidi w:val="0"/>
              <w:adjustRightInd/>
              <w:spacing w:before="0" w:beforeAutospacing="0" w:after="0" w:afterAutospacing="0" w:line="380" w:lineRule="exact"/>
              <w:ind w:left="0" w:right="0"/>
              <w:rPr>
                <w:rFonts w:hint="default"/>
              </w:rPr>
            </w:pPr>
            <w:r>
              <w:rPr>
                <w:rFonts w:hint="eastAsia"/>
              </w:rPr>
              <w:t>1、未成交的响应文件有效期内均应保持有效。</w:t>
            </w:r>
          </w:p>
          <w:p w14:paraId="2E73E369">
            <w:pPr>
              <w:pStyle w:val="10"/>
              <w:keepNext w:val="0"/>
              <w:keepLines w:val="0"/>
              <w:pageBreakBefore w:val="0"/>
              <w:widowControl w:val="0"/>
              <w:suppressLineNumbers w:val="0"/>
              <w:kinsoku/>
              <w:wordWrap/>
              <w:overflowPunct/>
              <w:topLinePunct w:val="0"/>
              <w:bidi w:val="0"/>
              <w:adjustRightInd/>
              <w:spacing w:before="0" w:beforeAutospacing="0" w:after="0" w:afterAutospacing="0" w:line="380" w:lineRule="exact"/>
              <w:ind w:left="0" w:right="0"/>
              <w:rPr>
                <w:rFonts w:hint="default"/>
              </w:rPr>
            </w:pPr>
            <w:r>
              <w:rPr>
                <w:rFonts w:hint="eastAsia"/>
              </w:rPr>
              <w:t>2、成交供应商的响应文件有效期自响应文件提交截止之日起至合同履行完毕止均应保持有效。</w:t>
            </w:r>
          </w:p>
        </w:tc>
      </w:tr>
      <w:tr w14:paraId="19F08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Align w:val="center"/>
          </w:tcPr>
          <w:p w14:paraId="4EED14FF">
            <w:pPr>
              <w:pStyle w:val="28"/>
              <w:keepNext w:val="0"/>
              <w:keepLines w:val="0"/>
              <w:pageBreakBefore w:val="0"/>
              <w:widowControl w:val="0"/>
              <w:numPr>
                <w:ilvl w:val="0"/>
                <w:numId w:val="2"/>
              </w:numPr>
              <w:suppressLineNumbers w:val="0"/>
              <w:kinsoku/>
              <w:wordWrap/>
              <w:overflowPunct/>
              <w:topLinePunct w:val="0"/>
              <w:bidi w:val="0"/>
              <w:adjustRightInd/>
              <w:spacing w:before="0" w:beforeAutospacing="0" w:after="0" w:afterAutospacing="0" w:line="380" w:lineRule="exact"/>
              <w:ind w:right="0"/>
              <w:jc w:val="center"/>
              <w:rPr>
                <w:rFonts w:hint="default"/>
              </w:rPr>
            </w:pPr>
          </w:p>
        </w:tc>
        <w:tc>
          <w:tcPr>
            <w:tcW w:w="945" w:type="dxa"/>
            <w:vAlign w:val="center"/>
          </w:tcPr>
          <w:p w14:paraId="592F7679">
            <w:pPr>
              <w:pStyle w:val="28"/>
              <w:keepNext w:val="0"/>
              <w:keepLines w:val="0"/>
              <w:pageBreakBefore w:val="0"/>
              <w:widowControl w:val="0"/>
              <w:suppressLineNumbers w:val="0"/>
              <w:kinsoku/>
              <w:wordWrap/>
              <w:overflowPunct/>
              <w:topLinePunct w:val="0"/>
              <w:bidi w:val="0"/>
              <w:adjustRightInd/>
              <w:spacing w:before="0" w:beforeAutospacing="0" w:after="0" w:afterAutospacing="0" w:line="380" w:lineRule="exact"/>
              <w:ind w:left="0" w:right="0"/>
              <w:jc w:val="center"/>
              <w:rPr>
                <w:rFonts w:hint="default"/>
              </w:rPr>
            </w:pPr>
            <w:r>
              <w:rPr>
                <w:rFonts w:hint="eastAsia"/>
              </w:rPr>
              <w:t>13.1</w:t>
            </w:r>
          </w:p>
        </w:tc>
        <w:tc>
          <w:tcPr>
            <w:tcW w:w="8106" w:type="dxa"/>
            <w:vAlign w:val="center"/>
          </w:tcPr>
          <w:p w14:paraId="6499FA11">
            <w:pPr>
              <w:pStyle w:val="10"/>
              <w:keepNext w:val="0"/>
              <w:keepLines w:val="0"/>
              <w:pageBreakBefore w:val="0"/>
              <w:widowControl w:val="0"/>
              <w:suppressLineNumbers w:val="0"/>
              <w:kinsoku/>
              <w:wordWrap/>
              <w:overflowPunct/>
              <w:topLinePunct w:val="0"/>
              <w:bidi w:val="0"/>
              <w:adjustRightInd/>
              <w:spacing w:before="0" w:beforeAutospacing="0" w:after="0" w:afterAutospacing="0" w:line="380" w:lineRule="exact"/>
              <w:ind w:left="0" w:right="0"/>
              <w:rPr>
                <w:rFonts w:hint="default"/>
              </w:rPr>
            </w:pPr>
            <w:r>
              <w:rPr>
                <w:rFonts w:hint="eastAsia"/>
              </w:rPr>
              <w:t>磋商保证金（人民币）：</w:t>
            </w:r>
            <w:r>
              <w:rPr>
                <w:rFonts w:hint="eastAsia" w:hAnsi="宋体"/>
                <w:u w:val="single"/>
              </w:rPr>
              <w:t>详见磋商公告</w:t>
            </w:r>
          </w:p>
        </w:tc>
      </w:tr>
      <w:tr w14:paraId="4A11D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Align w:val="center"/>
          </w:tcPr>
          <w:p w14:paraId="2BE766E7">
            <w:pPr>
              <w:pStyle w:val="28"/>
              <w:keepNext w:val="0"/>
              <w:keepLines w:val="0"/>
              <w:pageBreakBefore w:val="0"/>
              <w:widowControl w:val="0"/>
              <w:numPr>
                <w:ilvl w:val="0"/>
                <w:numId w:val="2"/>
              </w:numPr>
              <w:suppressLineNumbers w:val="0"/>
              <w:kinsoku/>
              <w:wordWrap/>
              <w:overflowPunct/>
              <w:topLinePunct w:val="0"/>
              <w:bidi w:val="0"/>
              <w:adjustRightInd/>
              <w:spacing w:before="0" w:beforeAutospacing="0" w:after="0" w:afterAutospacing="0" w:line="380" w:lineRule="exact"/>
              <w:ind w:right="0"/>
              <w:jc w:val="center"/>
              <w:rPr>
                <w:rFonts w:hint="default"/>
              </w:rPr>
            </w:pPr>
          </w:p>
        </w:tc>
        <w:tc>
          <w:tcPr>
            <w:tcW w:w="945" w:type="dxa"/>
            <w:vAlign w:val="center"/>
          </w:tcPr>
          <w:p w14:paraId="72D9A26C">
            <w:pPr>
              <w:pStyle w:val="28"/>
              <w:keepNext w:val="0"/>
              <w:keepLines w:val="0"/>
              <w:pageBreakBefore w:val="0"/>
              <w:widowControl w:val="0"/>
              <w:suppressLineNumbers w:val="0"/>
              <w:kinsoku/>
              <w:wordWrap/>
              <w:overflowPunct/>
              <w:topLinePunct w:val="0"/>
              <w:bidi w:val="0"/>
              <w:adjustRightInd/>
              <w:spacing w:before="0" w:beforeAutospacing="0" w:after="0" w:afterAutospacing="0" w:line="380" w:lineRule="exact"/>
              <w:ind w:left="0" w:right="0"/>
              <w:jc w:val="center"/>
              <w:rPr>
                <w:rFonts w:hint="default"/>
              </w:rPr>
            </w:pPr>
            <w:r>
              <w:rPr>
                <w:rFonts w:hint="eastAsia"/>
              </w:rPr>
              <w:t>14.1</w:t>
            </w:r>
          </w:p>
        </w:tc>
        <w:tc>
          <w:tcPr>
            <w:tcW w:w="8106" w:type="dxa"/>
            <w:vAlign w:val="center"/>
          </w:tcPr>
          <w:p w14:paraId="73C6A088">
            <w:pPr>
              <w:pStyle w:val="28"/>
              <w:keepNext w:val="0"/>
              <w:keepLines w:val="0"/>
              <w:pageBreakBefore w:val="0"/>
              <w:widowControl w:val="0"/>
              <w:suppressLineNumbers w:val="0"/>
              <w:kinsoku/>
              <w:wordWrap/>
              <w:overflowPunct/>
              <w:topLinePunct w:val="0"/>
              <w:bidi w:val="0"/>
              <w:adjustRightInd/>
              <w:spacing w:before="0" w:beforeAutospacing="0" w:after="0" w:afterAutospacing="0" w:line="380" w:lineRule="exact"/>
              <w:ind w:left="0" w:right="0"/>
              <w:rPr>
                <w:rFonts w:hint="default"/>
                <w:bCs/>
              </w:rPr>
            </w:pPr>
            <w:r>
              <w:rPr>
                <w:rFonts w:hint="eastAsia"/>
                <w:bCs/>
              </w:rPr>
              <w:t>磋商时间：</w:t>
            </w:r>
            <w:r>
              <w:rPr>
                <w:rFonts w:hint="eastAsia" w:hAnsi="宋体"/>
                <w:szCs w:val="21"/>
                <w:u w:val="single"/>
              </w:rPr>
              <w:t>详见磋商公告</w:t>
            </w:r>
          </w:p>
          <w:p w14:paraId="4358EE6B">
            <w:pPr>
              <w:pStyle w:val="28"/>
              <w:keepNext w:val="0"/>
              <w:keepLines w:val="0"/>
              <w:pageBreakBefore w:val="0"/>
              <w:widowControl w:val="0"/>
              <w:suppressLineNumbers w:val="0"/>
              <w:kinsoku/>
              <w:wordWrap/>
              <w:overflowPunct/>
              <w:topLinePunct w:val="0"/>
              <w:bidi w:val="0"/>
              <w:adjustRightInd/>
              <w:spacing w:before="0" w:beforeAutospacing="0" w:after="0" w:afterAutospacing="0" w:line="380" w:lineRule="exact"/>
              <w:ind w:left="0" w:right="0"/>
              <w:rPr>
                <w:rFonts w:hint="default"/>
              </w:rPr>
            </w:pPr>
            <w:r>
              <w:rPr>
                <w:rFonts w:hint="eastAsia"/>
                <w:bCs/>
              </w:rPr>
              <w:t>磋商地点：</w:t>
            </w:r>
            <w:r>
              <w:rPr>
                <w:rFonts w:hint="eastAsia"/>
                <w:u w:val="single"/>
              </w:rPr>
              <w:t>详见磋商公告</w:t>
            </w:r>
          </w:p>
        </w:tc>
      </w:tr>
      <w:tr w14:paraId="65E35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Align w:val="center"/>
          </w:tcPr>
          <w:p w14:paraId="4F545354">
            <w:pPr>
              <w:pStyle w:val="28"/>
              <w:keepNext w:val="0"/>
              <w:keepLines w:val="0"/>
              <w:pageBreakBefore w:val="0"/>
              <w:widowControl w:val="0"/>
              <w:numPr>
                <w:ilvl w:val="0"/>
                <w:numId w:val="2"/>
              </w:numPr>
              <w:suppressLineNumbers w:val="0"/>
              <w:kinsoku/>
              <w:wordWrap/>
              <w:overflowPunct/>
              <w:topLinePunct w:val="0"/>
              <w:bidi w:val="0"/>
              <w:adjustRightInd/>
              <w:spacing w:before="0" w:beforeAutospacing="0" w:after="0" w:afterAutospacing="0" w:line="380" w:lineRule="exact"/>
              <w:ind w:right="0"/>
              <w:jc w:val="center"/>
              <w:rPr>
                <w:rFonts w:hint="default"/>
              </w:rPr>
            </w:pPr>
          </w:p>
        </w:tc>
        <w:tc>
          <w:tcPr>
            <w:tcW w:w="945" w:type="dxa"/>
            <w:vAlign w:val="center"/>
          </w:tcPr>
          <w:p w14:paraId="52465EE0">
            <w:pPr>
              <w:pStyle w:val="28"/>
              <w:keepNext w:val="0"/>
              <w:keepLines w:val="0"/>
              <w:pageBreakBefore w:val="0"/>
              <w:widowControl w:val="0"/>
              <w:suppressLineNumbers w:val="0"/>
              <w:kinsoku/>
              <w:wordWrap/>
              <w:overflowPunct/>
              <w:topLinePunct w:val="0"/>
              <w:bidi w:val="0"/>
              <w:adjustRightInd/>
              <w:spacing w:before="0" w:beforeAutospacing="0" w:after="0" w:afterAutospacing="0" w:line="380" w:lineRule="exact"/>
              <w:ind w:left="0" w:right="0"/>
              <w:jc w:val="center"/>
              <w:rPr>
                <w:rFonts w:hint="default"/>
              </w:rPr>
            </w:pPr>
            <w:r>
              <w:rPr>
                <w:rFonts w:hint="eastAsia"/>
              </w:rPr>
              <w:t>14.6</w:t>
            </w:r>
          </w:p>
        </w:tc>
        <w:tc>
          <w:tcPr>
            <w:tcW w:w="8106" w:type="dxa"/>
            <w:vAlign w:val="center"/>
          </w:tcPr>
          <w:p w14:paraId="470B48AB">
            <w:pPr>
              <w:pStyle w:val="28"/>
              <w:keepNext w:val="0"/>
              <w:keepLines w:val="0"/>
              <w:pageBreakBefore w:val="0"/>
              <w:widowControl w:val="0"/>
              <w:suppressLineNumbers w:val="0"/>
              <w:kinsoku/>
              <w:wordWrap/>
              <w:overflowPunct/>
              <w:topLinePunct w:val="0"/>
              <w:bidi w:val="0"/>
              <w:adjustRightInd/>
              <w:spacing w:before="0" w:beforeAutospacing="0" w:after="0" w:afterAutospacing="0" w:line="380" w:lineRule="exact"/>
              <w:ind w:left="0" w:right="0"/>
              <w:rPr>
                <w:rFonts w:hint="default"/>
              </w:rPr>
            </w:pPr>
            <w:r>
              <w:rPr>
                <w:rFonts w:hint="eastAsia"/>
              </w:rPr>
              <w:t>评标方法：综合评分法（详细见第六章）</w:t>
            </w:r>
          </w:p>
        </w:tc>
      </w:tr>
      <w:tr w14:paraId="7B67F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Align w:val="center"/>
          </w:tcPr>
          <w:p w14:paraId="09F47675">
            <w:pPr>
              <w:pStyle w:val="28"/>
              <w:keepNext w:val="0"/>
              <w:keepLines w:val="0"/>
              <w:pageBreakBefore w:val="0"/>
              <w:widowControl w:val="0"/>
              <w:numPr>
                <w:ilvl w:val="0"/>
                <w:numId w:val="2"/>
              </w:numPr>
              <w:suppressLineNumbers w:val="0"/>
              <w:kinsoku/>
              <w:wordWrap/>
              <w:overflowPunct/>
              <w:topLinePunct w:val="0"/>
              <w:bidi w:val="0"/>
              <w:adjustRightInd/>
              <w:spacing w:before="0" w:beforeAutospacing="0" w:after="0" w:afterAutospacing="0" w:line="380" w:lineRule="exact"/>
              <w:ind w:right="0"/>
              <w:jc w:val="center"/>
              <w:rPr>
                <w:rFonts w:hint="default"/>
              </w:rPr>
            </w:pPr>
          </w:p>
        </w:tc>
        <w:tc>
          <w:tcPr>
            <w:tcW w:w="945" w:type="dxa"/>
            <w:vAlign w:val="center"/>
          </w:tcPr>
          <w:p w14:paraId="07262DEB">
            <w:pPr>
              <w:pStyle w:val="28"/>
              <w:keepNext w:val="0"/>
              <w:keepLines w:val="0"/>
              <w:pageBreakBefore w:val="0"/>
              <w:widowControl w:val="0"/>
              <w:suppressLineNumbers w:val="0"/>
              <w:kinsoku/>
              <w:wordWrap/>
              <w:overflowPunct/>
              <w:topLinePunct w:val="0"/>
              <w:bidi w:val="0"/>
              <w:adjustRightInd/>
              <w:spacing w:before="0" w:beforeAutospacing="0" w:after="0" w:afterAutospacing="0" w:line="380" w:lineRule="exact"/>
              <w:ind w:left="0" w:right="0"/>
              <w:jc w:val="center"/>
              <w:rPr>
                <w:rFonts w:hint="default"/>
              </w:rPr>
            </w:pPr>
          </w:p>
        </w:tc>
        <w:tc>
          <w:tcPr>
            <w:tcW w:w="8106" w:type="dxa"/>
            <w:vAlign w:val="center"/>
          </w:tcPr>
          <w:p w14:paraId="7A8F6A90">
            <w:pPr>
              <w:keepNext w:val="0"/>
              <w:keepLines w:val="0"/>
              <w:pageBreakBefore w:val="0"/>
              <w:widowControl w:val="0"/>
              <w:suppressLineNumbers w:val="0"/>
              <w:kinsoku/>
              <w:wordWrap/>
              <w:overflowPunct/>
              <w:topLinePunct w:val="0"/>
              <w:autoSpaceDE w:val="0"/>
              <w:autoSpaceDN w:val="0"/>
              <w:bidi w:val="0"/>
              <w:adjustRightInd/>
              <w:snapToGrid w:val="0"/>
              <w:spacing w:before="0" w:beforeAutospacing="0" w:after="0" w:afterAutospacing="0" w:line="380" w:lineRule="exact"/>
              <w:ind w:left="0" w:right="0"/>
              <w:textAlignment w:val="bottom"/>
              <w:rPr>
                <w:rFonts w:hint="default" w:ascii="宋体"/>
                <w:szCs w:val="21"/>
              </w:rPr>
            </w:pPr>
            <w:r>
              <w:rPr>
                <w:rFonts w:hint="eastAsia" w:ascii="宋体"/>
                <w:szCs w:val="21"/>
              </w:rPr>
              <w:t>采购人或采购代理机构对供应商进行信用查询</w:t>
            </w:r>
          </w:p>
          <w:p w14:paraId="39FDD995">
            <w:pPr>
              <w:pStyle w:val="28"/>
              <w:keepNext w:val="0"/>
              <w:keepLines w:val="0"/>
              <w:pageBreakBefore w:val="0"/>
              <w:widowControl w:val="0"/>
              <w:suppressLineNumbers w:val="0"/>
              <w:kinsoku/>
              <w:wordWrap/>
              <w:overflowPunct/>
              <w:topLinePunct w:val="0"/>
              <w:bidi w:val="0"/>
              <w:adjustRightInd/>
              <w:spacing w:before="0" w:beforeAutospacing="0" w:after="0" w:afterAutospacing="0" w:line="380" w:lineRule="exact"/>
              <w:ind w:left="0" w:right="0"/>
              <w:rPr>
                <w:rFonts w:hint="default"/>
                <w:szCs w:val="21"/>
              </w:rPr>
            </w:pPr>
            <w:r>
              <w:rPr>
                <w:rFonts w:hint="eastAsia"/>
                <w:szCs w:val="21"/>
              </w:rPr>
              <w:t>注：采购人或采购代理机构在资格审查结束前对供应商进行信用查询</w:t>
            </w:r>
          </w:p>
          <w:p w14:paraId="19744B86">
            <w:pPr>
              <w:pStyle w:val="28"/>
              <w:keepNext w:val="0"/>
              <w:keepLines w:val="0"/>
              <w:pageBreakBefore w:val="0"/>
              <w:widowControl w:val="0"/>
              <w:suppressLineNumbers w:val="0"/>
              <w:kinsoku/>
              <w:wordWrap/>
              <w:overflowPunct/>
              <w:topLinePunct w:val="0"/>
              <w:bidi w:val="0"/>
              <w:adjustRightInd/>
              <w:spacing w:before="0" w:beforeAutospacing="0" w:after="0" w:afterAutospacing="0" w:line="380" w:lineRule="exact"/>
              <w:ind w:left="0" w:right="0"/>
              <w:rPr>
                <w:rFonts w:hint="default"/>
                <w:szCs w:val="21"/>
              </w:rPr>
            </w:pPr>
            <w:r>
              <w:rPr>
                <w:rFonts w:hint="eastAsia"/>
                <w:szCs w:val="21"/>
              </w:rPr>
              <w:t>查询渠道：“信用中国”网站(www.creditchina.gov.cn) 、中国政府采购网(www.ccgp.gov.cn)</w:t>
            </w:r>
          </w:p>
          <w:p w14:paraId="168CAB43">
            <w:pPr>
              <w:pStyle w:val="28"/>
              <w:keepNext w:val="0"/>
              <w:keepLines w:val="0"/>
              <w:pageBreakBefore w:val="0"/>
              <w:widowControl w:val="0"/>
              <w:suppressLineNumbers w:val="0"/>
              <w:kinsoku/>
              <w:wordWrap/>
              <w:overflowPunct/>
              <w:topLinePunct w:val="0"/>
              <w:bidi w:val="0"/>
              <w:adjustRightInd/>
              <w:spacing w:before="0" w:beforeAutospacing="0" w:after="0" w:afterAutospacing="0" w:line="380" w:lineRule="exact"/>
              <w:ind w:left="0" w:right="0"/>
              <w:rPr>
                <w:rFonts w:hint="default"/>
                <w:szCs w:val="21"/>
              </w:rPr>
            </w:pPr>
            <w:r>
              <w:rPr>
                <w:rFonts w:hint="eastAsia"/>
                <w:szCs w:val="21"/>
              </w:rPr>
              <w:t>查询截止时间：资格审查结束前。</w:t>
            </w:r>
          </w:p>
          <w:p w14:paraId="6B446A06">
            <w:pPr>
              <w:pStyle w:val="28"/>
              <w:keepNext w:val="0"/>
              <w:keepLines w:val="0"/>
              <w:pageBreakBefore w:val="0"/>
              <w:widowControl w:val="0"/>
              <w:suppressLineNumbers w:val="0"/>
              <w:kinsoku/>
              <w:wordWrap/>
              <w:overflowPunct/>
              <w:topLinePunct w:val="0"/>
              <w:bidi w:val="0"/>
              <w:adjustRightInd/>
              <w:spacing w:before="0" w:beforeAutospacing="0" w:after="0" w:afterAutospacing="0" w:line="380" w:lineRule="exact"/>
              <w:ind w:left="0" w:right="0"/>
              <w:rPr>
                <w:rFonts w:hint="default"/>
                <w:szCs w:val="21"/>
              </w:rPr>
            </w:pPr>
            <w:r>
              <w:rPr>
                <w:rFonts w:hint="eastAsia"/>
                <w:szCs w:val="21"/>
              </w:rPr>
              <w:t>查询记录和证据留存方式：在查询网站中直接打印查询记录，打印材料作为评审资料保存。</w:t>
            </w:r>
          </w:p>
          <w:p w14:paraId="22E22B14">
            <w:pPr>
              <w:pStyle w:val="28"/>
              <w:keepNext w:val="0"/>
              <w:keepLines w:val="0"/>
              <w:pageBreakBefore w:val="0"/>
              <w:widowControl w:val="0"/>
              <w:suppressLineNumbers w:val="0"/>
              <w:kinsoku/>
              <w:wordWrap/>
              <w:overflowPunct/>
              <w:topLinePunct w:val="0"/>
              <w:bidi w:val="0"/>
              <w:adjustRightInd/>
              <w:spacing w:before="0" w:beforeAutospacing="0" w:after="0" w:afterAutospacing="0" w:line="380" w:lineRule="exact"/>
              <w:ind w:left="0" w:right="0"/>
              <w:rPr>
                <w:rFonts w:hint="default"/>
              </w:rPr>
            </w:pPr>
            <w:r>
              <w:rPr>
                <w:rFonts w:hint="eastAsia"/>
                <w:szCs w:val="21"/>
              </w:rPr>
              <w:t>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将拒绝其参与采购活动。</w:t>
            </w:r>
          </w:p>
        </w:tc>
      </w:tr>
      <w:tr w14:paraId="004A5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Align w:val="center"/>
          </w:tcPr>
          <w:p w14:paraId="00DDAE6E">
            <w:pPr>
              <w:pStyle w:val="28"/>
              <w:keepNext w:val="0"/>
              <w:keepLines w:val="0"/>
              <w:pageBreakBefore w:val="0"/>
              <w:widowControl w:val="0"/>
              <w:numPr>
                <w:ilvl w:val="0"/>
                <w:numId w:val="2"/>
              </w:numPr>
              <w:suppressLineNumbers w:val="0"/>
              <w:kinsoku/>
              <w:wordWrap/>
              <w:overflowPunct/>
              <w:topLinePunct w:val="0"/>
              <w:bidi w:val="0"/>
              <w:adjustRightInd/>
              <w:spacing w:before="0" w:beforeAutospacing="0" w:after="0" w:afterAutospacing="0" w:line="380" w:lineRule="exact"/>
              <w:ind w:right="0"/>
              <w:jc w:val="center"/>
              <w:rPr>
                <w:rFonts w:hint="default"/>
              </w:rPr>
            </w:pPr>
          </w:p>
        </w:tc>
        <w:tc>
          <w:tcPr>
            <w:tcW w:w="945" w:type="dxa"/>
            <w:vAlign w:val="center"/>
          </w:tcPr>
          <w:p w14:paraId="1DB68244">
            <w:pPr>
              <w:pStyle w:val="28"/>
              <w:keepNext w:val="0"/>
              <w:keepLines w:val="0"/>
              <w:pageBreakBefore w:val="0"/>
              <w:widowControl w:val="0"/>
              <w:suppressLineNumbers w:val="0"/>
              <w:kinsoku/>
              <w:wordWrap/>
              <w:overflowPunct/>
              <w:topLinePunct w:val="0"/>
              <w:bidi w:val="0"/>
              <w:adjustRightInd/>
              <w:spacing w:before="0" w:beforeAutospacing="0" w:after="0" w:afterAutospacing="0" w:line="380" w:lineRule="exact"/>
              <w:ind w:left="0" w:right="0"/>
              <w:jc w:val="center"/>
              <w:rPr>
                <w:rFonts w:hint="default"/>
              </w:rPr>
            </w:pPr>
          </w:p>
        </w:tc>
        <w:tc>
          <w:tcPr>
            <w:tcW w:w="8106" w:type="dxa"/>
            <w:vAlign w:val="center"/>
          </w:tcPr>
          <w:p w14:paraId="24EF1040">
            <w:pPr>
              <w:pStyle w:val="28"/>
              <w:keepNext w:val="0"/>
              <w:keepLines w:val="0"/>
              <w:pageBreakBefore w:val="0"/>
              <w:widowControl w:val="0"/>
              <w:suppressLineNumbers w:val="0"/>
              <w:kinsoku/>
              <w:wordWrap/>
              <w:overflowPunct/>
              <w:topLinePunct w:val="0"/>
              <w:bidi w:val="0"/>
              <w:adjustRightInd/>
              <w:spacing w:before="0" w:beforeAutospacing="0" w:after="0" w:afterAutospacing="0" w:line="380" w:lineRule="exact"/>
              <w:ind w:left="0" w:right="0"/>
              <w:rPr>
                <w:rFonts w:hint="default"/>
              </w:rPr>
            </w:pPr>
            <w:r>
              <w:rPr>
                <w:rFonts w:hint="eastAsia"/>
              </w:rPr>
              <w:t>1、本文件中描述供应商的“公章”是指根据我国对公章的管理规定，用供应商法定主体行为名称制作的印章，除本文件有特殊规定外，供应商的财务章、部门章、分公司章、工会章、合同章、投标专用章、业务专用章及银行的转账章、现金收讫章、现金付讫章等其它形式印章均不能代替公章。</w:t>
            </w:r>
          </w:p>
          <w:p w14:paraId="38693EFF">
            <w:pPr>
              <w:pStyle w:val="28"/>
              <w:keepNext w:val="0"/>
              <w:keepLines w:val="0"/>
              <w:pageBreakBefore w:val="0"/>
              <w:widowControl w:val="0"/>
              <w:suppressLineNumbers w:val="0"/>
              <w:kinsoku/>
              <w:wordWrap/>
              <w:overflowPunct/>
              <w:topLinePunct w:val="0"/>
              <w:bidi w:val="0"/>
              <w:adjustRightInd/>
              <w:spacing w:before="0" w:beforeAutospacing="0" w:after="0" w:afterAutospacing="0" w:line="380" w:lineRule="exact"/>
              <w:ind w:left="0" w:right="0"/>
              <w:rPr>
                <w:rFonts w:hint="default"/>
              </w:rPr>
            </w:pPr>
            <w:r>
              <w:rPr>
                <w:rFonts w:hint="eastAsia"/>
              </w:rPr>
              <w:t>2、本文件中描述供应商的“签字”是指供应商的法定代表人或被授权人亲自在文件规定签署处亲笔写上个人的名字的行为，私章、签字章、电子签名、印鉴、影印等其它形式均不能代替亲笔签字。</w:t>
            </w:r>
          </w:p>
        </w:tc>
      </w:tr>
      <w:tr w14:paraId="74E39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Align w:val="center"/>
          </w:tcPr>
          <w:p w14:paraId="7884B461">
            <w:pPr>
              <w:pStyle w:val="28"/>
              <w:keepNext w:val="0"/>
              <w:keepLines w:val="0"/>
              <w:pageBreakBefore w:val="0"/>
              <w:widowControl w:val="0"/>
              <w:numPr>
                <w:ilvl w:val="0"/>
                <w:numId w:val="2"/>
              </w:numPr>
              <w:suppressLineNumbers w:val="0"/>
              <w:kinsoku/>
              <w:wordWrap/>
              <w:overflowPunct/>
              <w:topLinePunct w:val="0"/>
              <w:bidi w:val="0"/>
              <w:adjustRightInd/>
              <w:spacing w:before="0" w:beforeAutospacing="0" w:after="0" w:afterAutospacing="0" w:line="380" w:lineRule="exact"/>
              <w:ind w:right="0"/>
              <w:jc w:val="center"/>
              <w:rPr>
                <w:rFonts w:hint="default"/>
              </w:rPr>
            </w:pPr>
          </w:p>
        </w:tc>
        <w:tc>
          <w:tcPr>
            <w:tcW w:w="945" w:type="dxa"/>
            <w:vAlign w:val="center"/>
          </w:tcPr>
          <w:p w14:paraId="1442E8AF">
            <w:pPr>
              <w:pStyle w:val="28"/>
              <w:keepNext w:val="0"/>
              <w:keepLines w:val="0"/>
              <w:pageBreakBefore w:val="0"/>
              <w:widowControl w:val="0"/>
              <w:suppressLineNumbers w:val="0"/>
              <w:kinsoku/>
              <w:wordWrap/>
              <w:overflowPunct/>
              <w:topLinePunct w:val="0"/>
              <w:bidi w:val="0"/>
              <w:adjustRightInd/>
              <w:spacing w:before="0" w:beforeAutospacing="0" w:after="0" w:afterAutospacing="0" w:line="380" w:lineRule="exact"/>
              <w:ind w:left="0" w:right="0"/>
              <w:jc w:val="center"/>
              <w:rPr>
                <w:rFonts w:hint="default"/>
              </w:rPr>
            </w:pPr>
          </w:p>
        </w:tc>
        <w:tc>
          <w:tcPr>
            <w:tcW w:w="8106" w:type="dxa"/>
            <w:vAlign w:val="center"/>
          </w:tcPr>
          <w:p w14:paraId="12AAE51A">
            <w:pPr>
              <w:pStyle w:val="28"/>
              <w:keepNext w:val="0"/>
              <w:keepLines w:val="0"/>
              <w:pageBreakBefore w:val="0"/>
              <w:widowControl w:val="0"/>
              <w:suppressLineNumbers w:val="0"/>
              <w:kinsoku/>
              <w:wordWrap/>
              <w:overflowPunct/>
              <w:topLinePunct w:val="0"/>
              <w:bidi w:val="0"/>
              <w:adjustRightInd/>
              <w:spacing w:before="0" w:beforeAutospacing="0" w:after="0" w:afterAutospacing="0" w:line="380" w:lineRule="exact"/>
              <w:ind w:left="0" w:right="0"/>
              <w:rPr>
                <w:rFonts w:hint="default"/>
              </w:rPr>
            </w:pPr>
            <w:r>
              <w:rPr>
                <w:rFonts w:hint="eastAsia"/>
              </w:rPr>
              <w:t>本磋商文件中要求“原件备查”的材料，供应商必须于磋商当天携带好原件，若磋商小组通知原件核查，需在1小时内提供，否则按此项材料无效处理。若发现供应商提供虚假材料应标，作无效响应处理，并向相关监管部门汇报。</w:t>
            </w:r>
          </w:p>
        </w:tc>
      </w:tr>
    </w:tbl>
    <w:p w14:paraId="7204D2F6">
      <w:pPr>
        <w:spacing w:line="400" w:lineRule="exact"/>
        <w:jc w:val="center"/>
        <w:rPr>
          <w:rFonts w:ascii="仿宋_GB2312" w:hAnsi="宋体" w:eastAsia="仿宋_GB2312"/>
          <w:b/>
          <w:sz w:val="32"/>
          <w:szCs w:val="32"/>
        </w:rPr>
      </w:pPr>
    </w:p>
    <w:p w14:paraId="2598C102">
      <w:pPr>
        <w:spacing w:line="720" w:lineRule="auto"/>
        <w:jc w:val="center"/>
        <w:rPr>
          <w:rFonts w:ascii="宋体" w:hAnsi="宋体"/>
          <w:b/>
          <w:sz w:val="32"/>
          <w:szCs w:val="32"/>
        </w:rPr>
      </w:pPr>
      <w:r>
        <w:rPr>
          <w:rFonts w:ascii="仿宋_GB2312" w:hAnsi="宋体" w:eastAsia="仿宋_GB2312"/>
          <w:b/>
          <w:sz w:val="32"/>
          <w:szCs w:val="32"/>
        </w:rPr>
        <w:br w:type="page"/>
      </w:r>
      <w:r>
        <w:rPr>
          <w:rFonts w:hint="eastAsia" w:ascii="宋体" w:hAnsi="宋体"/>
          <w:b/>
          <w:sz w:val="32"/>
          <w:szCs w:val="32"/>
        </w:rPr>
        <w:t>磋商供应商须知</w:t>
      </w:r>
    </w:p>
    <w:p w14:paraId="60D64F4F">
      <w:pPr>
        <w:keepNext w:val="0"/>
        <w:keepLines w:val="0"/>
        <w:pageBreakBefore w:val="0"/>
        <w:kinsoku/>
        <w:overflowPunct/>
        <w:topLinePunct w:val="0"/>
        <w:autoSpaceDE/>
        <w:autoSpaceDN/>
        <w:bidi w:val="0"/>
        <w:adjustRightInd/>
        <w:spacing w:line="380" w:lineRule="exact"/>
        <w:ind w:firstLine="422" w:firstLineChars="200"/>
        <w:textAlignment w:val="auto"/>
        <w:rPr>
          <w:rFonts w:ascii="仿宋_GB2312" w:hAnsi="宋体" w:eastAsia="仿宋_GB2312"/>
          <w:b/>
          <w:sz w:val="32"/>
          <w:szCs w:val="32"/>
        </w:rPr>
      </w:pPr>
      <w:r>
        <w:rPr>
          <w:rFonts w:hint="eastAsia" w:ascii="宋体" w:hAnsi="宋体"/>
          <w:b/>
          <w:szCs w:val="21"/>
        </w:rPr>
        <w:t>一、总　则</w:t>
      </w:r>
    </w:p>
    <w:p w14:paraId="7E532A81">
      <w:pPr>
        <w:keepNext w:val="0"/>
        <w:keepLines w:val="0"/>
        <w:pageBreakBefore w:val="0"/>
        <w:kinsoku/>
        <w:overflowPunct/>
        <w:topLinePunct w:val="0"/>
        <w:autoSpaceDE/>
        <w:autoSpaceDN/>
        <w:bidi w:val="0"/>
        <w:adjustRightInd/>
        <w:spacing w:line="380" w:lineRule="exact"/>
        <w:ind w:firstLine="420" w:firstLineChars="200"/>
        <w:textAlignment w:val="auto"/>
        <w:rPr>
          <w:rFonts w:ascii="宋体" w:hAnsi="宋体"/>
          <w:szCs w:val="21"/>
        </w:rPr>
      </w:pPr>
      <w:r>
        <w:rPr>
          <w:rFonts w:hint="eastAsia" w:ascii="宋体" w:hAnsi="宋体"/>
          <w:szCs w:val="21"/>
        </w:rPr>
        <w:t>1. 适用范围</w:t>
      </w:r>
    </w:p>
    <w:p w14:paraId="0BDD5D56">
      <w:pPr>
        <w:keepNext w:val="0"/>
        <w:keepLines w:val="0"/>
        <w:pageBreakBefore w:val="0"/>
        <w:kinsoku/>
        <w:overflowPunct/>
        <w:topLinePunct w:val="0"/>
        <w:autoSpaceDE/>
        <w:autoSpaceDN/>
        <w:bidi w:val="0"/>
        <w:adjustRightInd/>
        <w:spacing w:line="380" w:lineRule="exact"/>
        <w:ind w:firstLine="420" w:firstLineChars="200"/>
        <w:textAlignment w:val="auto"/>
        <w:rPr>
          <w:rFonts w:ascii="宋体" w:hAnsi="宋体"/>
          <w:szCs w:val="21"/>
        </w:rPr>
      </w:pPr>
      <w:r>
        <w:rPr>
          <w:rFonts w:hint="eastAsia" w:ascii="宋体" w:hAnsi="宋体"/>
          <w:szCs w:val="21"/>
        </w:rPr>
        <w:t>本文件仅适用于本文件中所叙述的</w:t>
      </w:r>
      <w:r>
        <w:rPr>
          <w:rFonts w:hint="eastAsia" w:ascii="宋体" w:hAnsi="宋体"/>
          <w:b/>
          <w:szCs w:val="21"/>
        </w:rPr>
        <w:t>服务类</w:t>
      </w:r>
      <w:r>
        <w:rPr>
          <w:rFonts w:hint="eastAsia" w:ascii="宋体" w:hAnsi="宋体"/>
          <w:szCs w:val="21"/>
        </w:rPr>
        <w:t>采购项目。</w:t>
      </w:r>
    </w:p>
    <w:p w14:paraId="7CA29BD5">
      <w:pPr>
        <w:keepNext w:val="0"/>
        <w:keepLines w:val="0"/>
        <w:pageBreakBefore w:val="0"/>
        <w:kinsoku/>
        <w:overflowPunct/>
        <w:topLinePunct w:val="0"/>
        <w:autoSpaceDE/>
        <w:autoSpaceDN/>
        <w:bidi w:val="0"/>
        <w:adjustRightInd/>
        <w:spacing w:line="380" w:lineRule="exact"/>
        <w:ind w:firstLine="420" w:firstLineChars="200"/>
        <w:textAlignment w:val="auto"/>
        <w:rPr>
          <w:rFonts w:ascii="宋体" w:hAnsi="宋体"/>
          <w:szCs w:val="21"/>
        </w:rPr>
      </w:pPr>
      <w:r>
        <w:rPr>
          <w:rFonts w:hint="eastAsia" w:ascii="宋体" w:hAnsi="宋体"/>
          <w:szCs w:val="21"/>
        </w:rPr>
        <w:t>2. 定义</w:t>
      </w:r>
    </w:p>
    <w:p w14:paraId="53453E1D">
      <w:pPr>
        <w:keepNext w:val="0"/>
        <w:keepLines w:val="0"/>
        <w:pageBreakBefore w:val="0"/>
        <w:kinsoku/>
        <w:overflowPunct/>
        <w:topLinePunct w:val="0"/>
        <w:autoSpaceDE/>
        <w:autoSpaceDN/>
        <w:bidi w:val="0"/>
        <w:adjustRightInd/>
        <w:spacing w:line="380" w:lineRule="exact"/>
        <w:ind w:firstLine="420" w:firstLineChars="200"/>
        <w:textAlignment w:val="auto"/>
        <w:rPr>
          <w:rFonts w:ascii="宋体" w:hAnsi="宋体"/>
          <w:szCs w:val="21"/>
        </w:rPr>
      </w:pPr>
      <w:r>
        <w:rPr>
          <w:rFonts w:hint="eastAsia" w:ascii="宋体" w:hAnsi="宋体"/>
          <w:szCs w:val="21"/>
        </w:rPr>
        <w:t>2.1“采购人”是指：</w:t>
      </w:r>
      <w:r>
        <w:rPr>
          <w:rFonts w:hint="eastAsia"/>
          <w:lang w:eastAsia="zh-CN"/>
        </w:rPr>
        <w:t>南宁市卫生健康委员会</w:t>
      </w:r>
      <w:r>
        <w:rPr>
          <w:rFonts w:hint="eastAsia" w:ascii="宋体" w:hAnsi="宋体"/>
          <w:szCs w:val="21"/>
        </w:rPr>
        <w:t>。</w:t>
      </w:r>
    </w:p>
    <w:p w14:paraId="1554508D">
      <w:pPr>
        <w:keepNext w:val="0"/>
        <w:keepLines w:val="0"/>
        <w:pageBreakBefore w:val="0"/>
        <w:kinsoku/>
        <w:overflowPunct/>
        <w:topLinePunct w:val="0"/>
        <w:autoSpaceDE/>
        <w:autoSpaceDN/>
        <w:bidi w:val="0"/>
        <w:adjustRightInd/>
        <w:spacing w:line="380" w:lineRule="exact"/>
        <w:ind w:firstLine="420" w:firstLineChars="200"/>
        <w:textAlignment w:val="auto"/>
        <w:rPr>
          <w:rFonts w:ascii="宋体" w:hAnsi="宋体"/>
          <w:szCs w:val="21"/>
        </w:rPr>
      </w:pPr>
      <w:r>
        <w:rPr>
          <w:rFonts w:hint="eastAsia" w:ascii="宋体" w:hAnsi="宋体"/>
          <w:szCs w:val="21"/>
        </w:rPr>
        <w:t>2.2“采购代理机构”是指：</w:t>
      </w:r>
      <w:r>
        <w:rPr>
          <w:rFonts w:hint="eastAsia"/>
        </w:rPr>
        <w:t>广西国力招标有限公司。</w:t>
      </w:r>
    </w:p>
    <w:p w14:paraId="4E681456">
      <w:pPr>
        <w:keepNext w:val="0"/>
        <w:keepLines w:val="0"/>
        <w:pageBreakBefore w:val="0"/>
        <w:kinsoku/>
        <w:overflowPunct/>
        <w:topLinePunct w:val="0"/>
        <w:autoSpaceDE/>
        <w:autoSpaceDN/>
        <w:bidi w:val="0"/>
        <w:adjustRightInd/>
        <w:spacing w:line="380" w:lineRule="exact"/>
        <w:ind w:firstLine="420" w:firstLineChars="200"/>
        <w:textAlignment w:val="auto"/>
        <w:rPr>
          <w:rFonts w:ascii="宋体" w:hAnsi="宋体"/>
          <w:szCs w:val="21"/>
        </w:rPr>
      </w:pPr>
      <w:r>
        <w:rPr>
          <w:rFonts w:hint="eastAsia" w:ascii="宋体" w:hAnsi="宋体"/>
          <w:szCs w:val="21"/>
        </w:rPr>
        <w:t>2.3“磋商供应商”是指响应本文件要求，参加磋商的法人或者其他组织和自然人。如果该供应商在本次磋商中成交,即成为“成交供应商”。</w:t>
      </w:r>
    </w:p>
    <w:p w14:paraId="295A4B12">
      <w:pPr>
        <w:keepNext w:val="0"/>
        <w:keepLines w:val="0"/>
        <w:pageBreakBefore w:val="0"/>
        <w:kinsoku/>
        <w:overflowPunct/>
        <w:topLinePunct w:val="0"/>
        <w:autoSpaceDE/>
        <w:autoSpaceDN/>
        <w:bidi w:val="0"/>
        <w:adjustRightInd/>
        <w:spacing w:line="380" w:lineRule="exact"/>
        <w:ind w:firstLine="420" w:firstLineChars="200"/>
        <w:textAlignment w:val="auto"/>
        <w:rPr>
          <w:rFonts w:ascii="宋体" w:hAnsi="宋体"/>
          <w:szCs w:val="21"/>
        </w:rPr>
      </w:pPr>
      <w:r>
        <w:rPr>
          <w:rFonts w:hint="eastAsia" w:ascii="宋体" w:hAnsi="宋体"/>
          <w:szCs w:val="21"/>
        </w:rPr>
        <w:t>2.4“货物”是指各种形态和种类的物品，包括原材料、燃料、设备、产品等。</w:t>
      </w:r>
    </w:p>
    <w:p w14:paraId="6D2FA743">
      <w:pPr>
        <w:keepNext w:val="0"/>
        <w:keepLines w:val="0"/>
        <w:pageBreakBefore w:val="0"/>
        <w:kinsoku/>
        <w:overflowPunct/>
        <w:topLinePunct w:val="0"/>
        <w:autoSpaceDE/>
        <w:autoSpaceDN/>
        <w:bidi w:val="0"/>
        <w:adjustRightInd/>
        <w:spacing w:line="380" w:lineRule="exact"/>
        <w:ind w:firstLine="420" w:firstLineChars="200"/>
        <w:textAlignment w:val="auto"/>
        <w:rPr>
          <w:rFonts w:ascii="宋体" w:hAnsi="宋体"/>
          <w:szCs w:val="21"/>
        </w:rPr>
      </w:pPr>
      <w:r>
        <w:rPr>
          <w:rFonts w:hint="eastAsia" w:ascii="宋体" w:hAnsi="宋体"/>
          <w:szCs w:val="21"/>
        </w:rPr>
        <w:t>2.5“服务”是指除货物和工程以外的其他采购对象。</w:t>
      </w:r>
    </w:p>
    <w:p w14:paraId="406EFC34">
      <w:pPr>
        <w:keepNext w:val="0"/>
        <w:keepLines w:val="0"/>
        <w:pageBreakBefore w:val="0"/>
        <w:kinsoku/>
        <w:overflowPunct/>
        <w:topLinePunct w:val="0"/>
        <w:autoSpaceDE/>
        <w:autoSpaceDN/>
        <w:bidi w:val="0"/>
        <w:adjustRightInd/>
        <w:spacing w:line="380" w:lineRule="exact"/>
        <w:ind w:firstLine="420" w:firstLineChars="200"/>
        <w:textAlignment w:val="auto"/>
        <w:rPr>
          <w:rFonts w:ascii="宋体" w:hAnsi="宋体"/>
          <w:szCs w:val="21"/>
        </w:rPr>
      </w:pPr>
      <w:r>
        <w:rPr>
          <w:rFonts w:hint="eastAsia" w:ascii="宋体" w:hAnsi="宋体"/>
          <w:szCs w:val="21"/>
        </w:rPr>
        <w:t>2.6“竞争性磋商响应文件”是指：供应商根据本文件要求，编制包含报价、技术和服务等所有内容的文件。</w:t>
      </w:r>
    </w:p>
    <w:p w14:paraId="50C03C8A">
      <w:pPr>
        <w:keepNext w:val="0"/>
        <w:keepLines w:val="0"/>
        <w:pageBreakBefore w:val="0"/>
        <w:kinsoku/>
        <w:overflowPunct/>
        <w:topLinePunct w:val="0"/>
        <w:autoSpaceDE/>
        <w:autoSpaceDN/>
        <w:bidi w:val="0"/>
        <w:adjustRightInd/>
        <w:spacing w:line="380" w:lineRule="exact"/>
        <w:ind w:firstLine="420" w:firstLineChars="200"/>
        <w:textAlignment w:val="auto"/>
        <w:rPr>
          <w:rFonts w:ascii="宋体" w:hAnsi="宋体"/>
          <w:szCs w:val="21"/>
        </w:rPr>
      </w:pPr>
      <w:r>
        <w:rPr>
          <w:rFonts w:hint="eastAsia" w:ascii="宋体" w:hAnsi="宋体"/>
          <w:szCs w:val="21"/>
        </w:rPr>
        <w:t>3. 磋商供应商的基本条件：详见须知前附表。</w:t>
      </w:r>
    </w:p>
    <w:p w14:paraId="042B2D07">
      <w:pPr>
        <w:keepNext w:val="0"/>
        <w:keepLines w:val="0"/>
        <w:pageBreakBefore w:val="0"/>
        <w:kinsoku/>
        <w:overflowPunct/>
        <w:topLinePunct w:val="0"/>
        <w:autoSpaceDE/>
        <w:autoSpaceDN/>
        <w:bidi w:val="0"/>
        <w:adjustRightInd/>
        <w:spacing w:line="380" w:lineRule="exact"/>
        <w:ind w:firstLine="420" w:firstLineChars="200"/>
        <w:textAlignment w:val="auto"/>
        <w:rPr>
          <w:rFonts w:ascii="宋体" w:hAnsi="宋体"/>
          <w:szCs w:val="21"/>
        </w:rPr>
      </w:pPr>
      <w:r>
        <w:rPr>
          <w:rFonts w:hint="eastAsia" w:ascii="宋体" w:hAnsi="宋体"/>
          <w:szCs w:val="21"/>
        </w:rPr>
        <w:t>4. 磋商费用、代理服务费</w:t>
      </w:r>
    </w:p>
    <w:p w14:paraId="7F2B475E">
      <w:pPr>
        <w:keepNext w:val="0"/>
        <w:keepLines w:val="0"/>
        <w:pageBreakBefore w:val="0"/>
        <w:kinsoku/>
        <w:overflowPunct/>
        <w:topLinePunct w:val="0"/>
        <w:autoSpaceDE/>
        <w:autoSpaceDN/>
        <w:bidi w:val="0"/>
        <w:adjustRightInd/>
        <w:spacing w:line="380" w:lineRule="exact"/>
        <w:ind w:firstLine="420" w:firstLineChars="200"/>
        <w:textAlignment w:val="auto"/>
        <w:rPr>
          <w:rFonts w:ascii="宋体" w:hAnsi="宋体"/>
          <w:szCs w:val="21"/>
        </w:rPr>
      </w:pPr>
      <w:r>
        <w:rPr>
          <w:rFonts w:hint="eastAsia" w:ascii="宋体" w:hAnsi="宋体"/>
          <w:szCs w:val="21"/>
        </w:rPr>
        <w:t>4.1磋商供应商应自行承担所有与编写和提交竞争性磋商响应文件有关的费用，不论磋商结果如何，采购人和</w:t>
      </w:r>
      <w:r>
        <w:rPr>
          <w:rFonts w:hint="eastAsia" w:hAnsi="宋体"/>
        </w:rPr>
        <w:t>广西国力招标有限公司</w:t>
      </w:r>
      <w:r>
        <w:rPr>
          <w:rFonts w:hint="eastAsia" w:ascii="宋体" w:hAnsi="宋体"/>
          <w:szCs w:val="21"/>
        </w:rPr>
        <w:t>在任何情况下无义务和责任承担此类费用。</w:t>
      </w:r>
    </w:p>
    <w:p w14:paraId="17A8C401">
      <w:pPr>
        <w:keepNext w:val="0"/>
        <w:keepLines w:val="0"/>
        <w:pageBreakBefore w:val="0"/>
        <w:kinsoku/>
        <w:overflowPunct/>
        <w:topLinePunct w:val="0"/>
        <w:autoSpaceDE/>
        <w:autoSpaceDN/>
        <w:bidi w:val="0"/>
        <w:adjustRightInd/>
        <w:spacing w:line="380" w:lineRule="exact"/>
        <w:ind w:firstLine="420" w:firstLineChars="200"/>
        <w:textAlignment w:val="auto"/>
        <w:rPr>
          <w:rFonts w:ascii="宋体" w:hAnsi="宋体"/>
          <w:szCs w:val="21"/>
        </w:rPr>
      </w:pPr>
      <w:r>
        <w:rPr>
          <w:rFonts w:hint="eastAsia" w:ascii="宋体" w:hAnsi="宋体"/>
          <w:szCs w:val="21"/>
        </w:rPr>
        <w:t>4.2本项目的代理服务费按须知前附表的规定执行，由成交供应商在发布成交结果公告后，一次性向采购代理机构支付。</w:t>
      </w:r>
    </w:p>
    <w:p w14:paraId="71C8B918">
      <w:pPr>
        <w:keepNext w:val="0"/>
        <w:keepLines w:val="0"/>
        <w:pageBreakBefore w:val="0"/>
        <w:kinsoku/>
        <w:overflowPunct/>
        <w:topLinePunct w:val="0"/>
        <w:autoSpaceDE/>
        <w:autoSpaceDN/>
        <w:bidi w:val="0"/>
        <w:adjustRightInd/>
        <w:spacing w:line="380" w:lineRule="exact"/>
        <w:ind w:firstLine="422" w:firstLineChars="200"/>
        <w:textAlignment w:val="auto"/>
        <w:rPr>
          <w:rFonts w:ascii="宋体" w:hAnsi="宋体"/>
          <w:szCs w:val="21"/>
        </w:rPr>
      </w:pPr>
      <w:r>
        <w:rPr>
          <w:rFonts w:hint="eastAsia"/>
          <w:b/>
          <w:bCs/>
        </w:rPr>
        <w:t xml:space="preserve">5. </w:t>
      </w:r>
      <w:r>
        <w:rPr>
          <w:rFonts w:hint="eastAsia" w:ascii="宋体" w:hAnsi="宋体"/>
          <w:b/>
          <w:szCs w:val="21"/>
        </w:rPr>
        <w:t>竞争性</w:t>
      </w:r>
      <w:r>
        <w:rPr>
          <w:rFonts w:hint="eastAsia" w:hAnsi="宋体"/>
          <w:b/>
        </w:rPr>
        <w:t>磋商文件的澄清和修改：</w:t>
      </w:r>
    </w:p>
    <w:p w14:paraId="76A67FAE">
      <w:pPr>
        <w:keepNext w:val="0"/>
        <w:keepLines w:val="0"/>
        <w:pageBreakBefore w:val="0"/>
        <w:widowControl/>
        <w:kinsoku/>
        <w:wordWrap w:val="0"/>
        <w:overflowPunct/>
        <w:topLinePunct w:val="0"/>
        <w:autoSpaceDE/>
        <w:autoSpaceDN/>
        <w:bidi w:val="0"/>
        <w:adjustRightInd/>
        <w:spacing w:line="380" w:lineRule="exact"/>
        <w:ind w:firstLine="420"/>
        <w:jc w:val="left"/>
        <w:textAlignment w:val="auto"/>
        <w:rPr>
          <w:rFonts w:ascii="宋体" w:hAnsi="宋体" w:cs="Courier New"/>
          <w:szCs w:val="21"/>
        </w:rPr>
      </w:pPr>
      <w:r>
        <w:rPr>
          <w:rFonts w:hint="eastAsia" w:ascii="宋体" w:hAnsi="宋体" w:cs="Courier New"/>
          <w:szCs w:val="21"/>
        </w:rPr>
        <w:t>5.1供应商应认真阅读磋商文件，供应商认为采购文件使自己的权益受到损害的，供应商必须在获取竞争性磋商文件之日起7个工作日内，以书面形式向采购人、采购代理机构提出，</w:t>
      </w:r>
      <w:r>
        <w:rPr>
          <w:rFonts w:hint="eastAsia" w:ascii="宋体" w:hAnsi="宋体"/>
        </w:rPr>
        <w:t>供应商在法定质疑期内必须一次性提出针对同一采购程序环节的质疑</w:t>
      </w:r>
      <w:r>
        <w:rPr>
          <w:rFonts w:hint="eastAsia" w:ascii="宋体" w:hAnsi="宋体" w:cs="Courier New"/>
          <w:szCs w:val="21"/>
        </w:rPr>
        <w:t>。</w:t>
      </w:r>
    </w:p>
    <w:p w14:paraId="41F3F849">
      <w:pPr>
        <w:keepNext w:val="0"/>
        <w:keepLines w:val="0"/>
        <w:pageBreakBefore w:val="0"/>
        <w:widowControl/>
        <w:kinsoku/>
        <w:wordWrap w:val="0"/>
        <w:overflowPunct/>
        <w:topLinePunct w:val="0"/>
        <w:autoSpaceDE/>
        <w:autoSpaceDN/>
        <w:bidi w:val="0"/>
        <w:adjustRightInd/>
        <w:spacing w:line="380" w:lineRule="exact"/>
        <w:ind w:firstLine="420"/>
        <w:jc w:val="left"/>
        <w:textAlignment w:val="auto"/>
        <w:rPr>
          <w:rFonts w:ascii="宋体" w:hAnsi="宋体" w:cs="Courier New"/>
          <w:szCs w:val="21"/>
        </w:rPr>
      </w:pPr>
      <w:r>
        <w:rPr>
          <w:rFonts w:hint="eastAsia" w:ascii="宋体" w:hAnsi="宋体" w:cs="Courier New"/>
          <w:szCs w:val="21"/>
        </w:rPr>
        <w:t>5.2供应商提出质疑应当提交质疑函和必要的证明材料。质疑函应当包括下列内容：</w:t>
      </w:r>
    </w:p>
    <w:p w14:paraId="6F655F45">
      <w:pPr>
        <w:keepNext w:val="0"/>
        <w:keepLines w:val="0"/>
        <w:pageBreakBefore w:val="0"/>
        <w:widowControl/>
        <w:kinsoku/>
        <w:wordWrap w:val="0"/>
        <w:overflowPunct/>
        <w:topLinePunct w:val="0"/>
        <w:autoSpaceDE/>
        <w:autoSpaceDN/>
        <w:bidi w:val="0"/>
        <w:adjustRightInd/>
        <w:spacing w:line="380" w:lineRule="exact"/>
        <w:ind w:firstLine="420"/>
        <w:jc w:val="left"/>
        <w:textAlignment w:val="auto"/>
        <w:rPr>
          <w:rFonts w:ascii="宋体" w:hAnsi="宋体" w:cs="Courier New"/>
          <w:szCs w:val="21"/>
        </w:rPr>
      </w:pPr>
      <w:r>
        <w:rPr>
          <w:rFonts w:hint="eastAsia" w:ascii="宋体" w:hAnsi="宋体" w:cs="Courier New"/>
          <w:szCs w:val="21"/>
        </w:rPr>
        <w:t>（1）供应商的姓名或者名称、地址、邮编、联系人及联系电话；</w:t>
      </w:r>
    </w:p>
    <w:p w14:paraId="3C87DDE7">
      <w:pPr>
        <w:keepNext w:val="0"/>
        <w:keepLines w:val="0"/>
        <w:pageBreakBefore w:val="0"/>
        <w:widowControl/>
        <w:kinsoku/>
        <w:wordWrap w:val="0"/>
        <w:overflowPunct/>
        <w:topLinePunct w:val="0"/>
        <w:autoSpaceDE/>
        <w:autoSpaceDN/>
        <w:bidi w:val="0"/>
        <w:adjustRightInd/>
        <w:spacing w:line="380" w:lineRule="exact"/>
        <w:ind w:firstLine="420"/>
        <w:jc w:val="left"/>
        <w:textAlignment w:val="auto"/>
        <w:rPr>
          <w:rFonts w:ascii="宋体" w:hAnsi="宋体" w:cs="Courier New"/>
          <w:szCs w:val="21"/>
        </w:rPr>
      </w:pPr>
      <w:r>
        <w:rPr>
          <w:rFonts w:hint="eastAsia" w:ascii="宋体" w:hAnsi="宋体" w:cs="Courier New"/>
          <w:szCs w:val="21"/>
        </w:rPr>
        <w:t>（2）质疑项目的名称、编号；</w:t>
      </w:r>
    </w:p>
    <w:p w14:paraId="07D33177">
      <w:pPr>
        <w:keepNext w:val="0"/>
        <w:keepLines w:val="0"/>
        <w:pageBreakBefore w:val="0"/>
        <w:widowControl/>
        <w:kinsoku/>
        <w:wordWrap w:val="0"/>
        <w:overflowPunct/>
        <w:topLinePunct w:val="0"/>
        <w:autoSpaceDE/>
        <w:autoSpaceDN/>
        <w:bidi w:val="0"/>
        <w:adjustRightInd/>
        <w:spacing w:line="380" w:lineRule="exact"/>
        <w:ind w:firstLine="420"/>
        <w:jc w:val="left"/>
        <w:textAlignment w:val="auto"/>
        <w:rPr>
          <w:rFonts w:ascii="宋体" w:hAnsi="宋体" w:cs="Courier New"/>
          <w:szCs w:val="21"/>
        </w:rPr>
      </w:pPr>
      <w:r>
        <w:rPr>
          <w:rFonts w:hint="eastAsia" w:ascii="宋体" w:hAnsi="宋体" w:cs="Courier New"/>
          <w:szCs w:val="21"/>
        </w:rPr>
        <w:t>（3）具体、明确的质疑事项和与质疑事项相关的请求；</w:t>
      </w:r>
    </w:p>
    <w:p w14:paraId="3E00F5E7">
      <w:pPr>
        <w:keepNext w:val="0"/>
        <w:keepLines w:val="0"/>
        <w:pageBreakBefore w:val="0"/>
        <w:widowControl/>
        <w:kinsoku/>
        <w:wordWrap w:val="0"/>
        <w:overflowPunct/>
        <w:topLinePunct w:val="0"/>
        <w:autoSpaceDE/>
        <w:autoSpaceDN/>
        <w:bidi w:val="0"/>
        <w:adjustRightInd/>
        <w:spacing w:line="380" w:lineRule="exact"/>
        <w:ind w:firstLine="420"/>
        <w:jc w:val="left"/>
        <w:textAlignment w:val="auto"/>
        <w:rPr>
          <w:rFonts w:ascii="宋体" w:hAnsi="宋体" w:cs="Courier New"/>
          <w:szCs w:val="21"/>
        </w:rPr>
      </w:pPr>
      <w:r>
        <w:rPr>
          <w:rFonts w:hint="eastAsia" w:ascii="宋体" w:hAnsi="宋体" w:cs="Courier New"/>
          <w:szCs w:val="21"/>
        </w:rPr>
        <w:t>（4）事实依据；</w:t>
      </w:r>
    </w:p>
    <w:p w14:paraId="0F1F7CF7">
      <w:pPr>
        <w:keepNext w:val="0"/>
        <w:keepLines w:val="0"/>
        <w:pageBreakBefore w:val="0"/>
        <w:widowControl/>
        <w:kinsoku/>
        <w:wordWrap w:val="0"/>
        <w:overflowPunct/>
        <w:topLinePunct w:val="0"/>
        <w:autoSpaceDE/>
        <w:autoSpaceDN/>
        <w:bidi w:val="0"/>
        <w:adjustRightInd/>
        <w:spacing w:line="380" w:lineRule="exact"/>
        <w:ind w:firstLine="420"/>
        <w:jc w:val="left"/>
        <w:textAlignment w:val="auto"/>
        <w:rPr>
          <w:rFonts w:ascii="宋体" w:hAnsi="宋体" w:cs="Courier New"/>
          <w:color w:val="auto"/>
          <w:szCs w:val="21"/>
        </w:rPr>
      </w:pPr>
      <w:r>
        <w:rPr>
          <w:rFonts w:hint="eastAsia" w:ascii="宋体" w:hAnsi="宋体" w:cs="Courier New"/>
          <w:szCs w:val="21"/>
        </w:rPr>
        <w:t>（5）必要的法律依据；</w:t>
      </w:r>
    </w:p>
    <w:p w14:paraId="21E3AE7D">
      <w:pPr>
        <w:keepNext w:val="0"/>
        <w:keepLines w:val="0"/>
        <w:pageBreakBefore w:val="0"/>
        <w:widowControl/>
        <w:kinsoku/>
        <w:wordWrap w:val="0"/>
        <w:overflowPunct/>
        <w:topLinePunct w:val="0"/>
        <w:autoSpaceDE/>
        <w:autoSpaceDN/>
        <w:bidi w:val="0"/>
        <w:adjustRightInd/>
        <w:spacing w:line="380" w:lineRule="exact"/>
        <w:ind w:firstLine="420"/>
        <w:jc w:val="left"/>
        <w:textAlignment w:val="auto"/>
        <w:rPr>
          <w:rFonts w:ascii="宋体" w:hAnsi="宋体" w:cs="Courier New"/>
          <w:color w:val="auto"/>
          <w:szCs w:val="21"/>
        </w:rPr>
      </w:pPr>
      <w:r>
        <w:rPr>
          <w:rFonts w:hint="eastAsia" w:ascii="宋体" w:hAnsi="宋体" w:cs="Courier New"/>
          <w:color w:val="auto"/>
          <w:szCs w:val="21"/>
        </w:rPr>
        <w:t>（6）提出质疑的日期。</w:t>
      </w:r>
    </w:p>
    <w:p w14:paraId="309C1166">
      <w:pPr>
        <w:keepNext w:val="0"/>
        <w:keepLines w:val="0"/>
        <w:pageBreakBefore w:val="0"/>
        <w:widowControl/>
        <w:kinsoku/>
        <w:wordWrap w:val="0"/>
        <w:overflowPunct/>
        <w:topLinePunct w:val="0"/>
        <w:autoSpaceDE/>
        <w:autoSpaceDN/>
        <w:bidi w:val="0"/>
        <w:adjustRightInd/>
        <w:spacing w:line="380" w:lineRule="exact"/>
        <w:ind w:firstLine="420"/>
        <w:jc w:val="left"/>
        <w:textAlignment w:val="auto"/>
        <w:rPr>
          <w:rFonts w:ascii="宋体" w:hAnsi="宋体" w:cs="Courier New"/>
          <w:color w:val="auto"/>
          <w:szCs w:val="21"/>
        </w:rPr>
      </w:pPr>
      <w:r>
        <w:rPr>
          <w:rFonts w:hint="eastAsia" w:ascii="宋体" w:hAnsi="宋体" w:cs="Courier New"/>
          <w:color w:val="auto"/>
          <w:szCs w:val="21"/>
        </w:rPr>
        <w:t>供应商为自然人的，应当由本人签字；供应商为法人或者其他组织的，应当由法定代表人、主要负责人，或者其授权代表签字或者盖章，并加盖公章。</w:t>
      </w:r>
    </w:p>
    <w:p w14:paraId="2C4A022E">
      <w:pPr>
        <w:keepNext w:val="0"/>
        <w:keepLines w:val="0"/>
        <w:pageBreakBefore w:val="0"/>
        <w:widowControl/>
        <w:kinsoku/>
        <w:wordWrap w:val="0"/>
        <w:overflowPunct/>
        <w:topLinePunct w:val="0"/>
        <w:autoSpaceDE/>
        <w:autoSpaceDN/>
        <w:bidi w:val="0"/>
        <w:adjustRightInd/>
        <w:spacing w:line="380" w:lineRule="exact"/>
        <w:ind w:firstLine="420"/>
        <w:jc w:val="left"/>
        <w:textAlignment w:val="auto"/>
        <w:rPr>
          <w:rFonts w:ascii="宋体" w:hAnsi="宋体" w:cs="Courier New"/>
          <w:color w:val="auto"/>
          <w:szCs w:val="21"/>
        </w:rPr>
      </w:pPr>
      <w:r>
        <w:rPr>
          <w:rFonts w:hint="eastAsia" w:ascii="宋体" w:hAnsi="宋体" w:cs="Courier New"/>
          <w:color w:val="auto"/>
          <w:szCs w:val="21"/>
        </w:rPr>
        <w:t>5.3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应当在提交首次响应文件截止时间5日前，以书面形式通知所有接收磋商文件的供应商，不足5日的，应当顺延提交首次响应文件截止之日。</w:t>
      </w:r>
    </w:p>
    <w:p w14:paraId="5FE75500">
      <w:pPr>
        <w:keepNext w:val="0"/>
        <w:keepLines w:val="0"/>
        <w:pageBreakBefore w:val="0"/>
        <w:kinsoku/>
        <w:overflowPunct/>
        <w:topLinePunct w:val="0"/>
        <w:autoSpaceDE/>
        <w:autoSpaceDN/>
        <w:bidi w:val="0"/>
        <w:adjustRightInd/>
        <w:spacing w:line="380" w:lineRule="exact"/>
        <w:ind w:firstLine="420" w:firstLineChars="200"/>
        <w:textAlignment w:val="auto"/>
        <w:rPr>
          <w:rFonts w:ascii="宋体" w:hAnsi="宋体"/>
          <w:color w:val="auto"/>
          <w:szCs w:val="21"/>
        </w:rPr>
      </w:pPr>
      <w:r>
        <w:rPr>
          <w:rFonts w:hint="eastAsia" w:ascii="宋体" w:hAnsi="宋体"/>
          <w:color w:val="auto"/>
          <w:szCs w:val="20"/>
        </w:rPr>
        <w:t>5.4磋商</w:t>
      </w:r>
      <w:r>
        <w:rPr>
          <w:rFonts w:hint="eastAsia" w:ascii="宋体" w:hAnsi="宋体"/>
          <w:color w:val="auto"/>
        </w:rPr>
        <w:t>供应商接电话通知后到采购代理机构处领取以上澄清答复（或补充通知、更改通知等），或在网上查询，如在电话通知后24小时内不上门领取的，则视为已在网上查询收到。该澄清或修改的内容为竞争性磋商文件的组成部分。磋商供应商在每一次收到澄清答复或补充通知后应立即以书面形式通知采购代理机构，确认已收到该澄清答复或补充通知。否则，由此造成的一切后果由磋商供应商负责。（电话通知时以磋商供应商购买竞争性磋商文件所留电话，如磋商供应商所留电话有误或打不通等造成的一切后果由磋商供应商</w:t>
      </w:r>
      <w:r>
        <w:rPr>
          <w:rFonts w:hint="eastAsia" w:hAnsi="宋体"/>
          <w:color w:val="auto"/>
        </w:rPr>
        <w:t>负责）</w:t>
      </w:r>
    </w:p>
    <w:p w14:paraId="2C772531">
      <w:pPr>
        <w:keepNext w:val="0"/>
        <w:keepLines w:val="0"/>
        <w:pageBreakBefore w:val="0"/>
        <w:kinsoku/>
        <w:overflowPunct/>
        <w:topLinePunct w:val="0"/>
        <w:autoSpaceDE/>
        <w:autoSpaceDN/>
        <w:bidi w:val="0"/>
        <w:adjustRightInd/>
        <w:spacing w:line="380" w:lineRule="exact"/>
        <w:ind w:firstLine="422" w:firstLineChars="200"/>
        <w:textAlignment w:val="auto"/>
        <w:rPr>
          <w:rFonts w:ascii="宋体" w:hAnsi="宋体"/>
          <w:b/>
          <w:color w:val="auto"/>
          <w:szCs w:val="21"/>
        </w:rPr>
      </w:pPr>
      <w:r>
        <w:rPr>
          <w:rFonts w:hint="eastAsia" w:ascii="宋体" w:hAnsi="宋体"/>
          <w:b/>
          <w:color w:val="auto"/>
          <w:szCs w:val="21"/>
        </w:rPr>
        <w:t>二、竞争性磋商响应文件的编制</w:t>
      </w:r>
    </w:p>
    <w:p w14:paraId="31458686">
      <w:pPr>
        <w:keepNext w:val="0"/>
        <w:keepLines w:val="0"/>
        <w:pageBreakBefore w:val="0"/>
        <w:kinsoku/>
        <w:overflowPunct/>
        <w:topLinePunct w:val="0"/>
        <w:autoSpaceDE/>
        <w:autoSpaceDN/>
        <w:bidi w:val="0"/>
        <w:adjustRightInd/>
        <w:spacing w:line="380" w:lineRule="exact"/>
        <w:ind w:firstLine="420" w:firstLineChars="200"/>
        <w:textAlignment w:val="auto"/>
        <w:rPr>
          <w:rFonts w:ascii="宋体" w:hAnsi="宋体"/>
          <w:color w:val="auto"/>
          <w:szCs w:val="21"/>
        </w:rPr>
      </w:pPr>
      <w:r>
        <w:rPr>
          <w:rFonts w:hint="eastAsia" w:ascii="宋体" w:hAnsi="宋体"/>
          <w:color w:val="auto"/>
          <w:szCs w:val="21"/>
        </w:rPr>
        <w:t>6. 竞争性磋商响应文件编制基本要求</w:t>
      </w:r>
    </w:p>
    <w:p w14:paraId="373171FD">
      <w:pPr>
        <w:keepNext w:val="0"/>
        <w:keepLines w:val="0"/>
        <w:pageBreakBefore w:val="0"/>
        <w:kinsoku/>
        <w:overflowPunct/>
        <w:topLinePunct w:val="0"/>
        <w:autoSpaceDE/>
        <w:autoSpaceDN/>
        <w:bidi w:val="0"/>
        <w:adjustRightInd/>
        <w:spacing w:line="380" w:lineRule="exact"/>
        <w:ind w:firstLine="420" w:firstLineChars="200"/>
        <w:textAlignment w:val="auto"/>
        <w:rPr>
          <w:rFonts w:ascii="宋体" w:hAnsi="宋体"/>
          <w:color w:val="auto"/>
          <w:szCs w:val="21"/>
        </w:rPr>
      </w:pPr>
      <w:r>
        <w:rPr>
          <w:rFonts w:hint="eastAsia" w:ascii="宋体" w:hAnsi="宋体"/>
          <w:color w:val="auto"/>
          <w:szCs w:val="21"/>
        </w:rPr>
        <w:t>6.1磋商供应商对竞争性磋商响应文件的编制应按要求装订和封装。</w:t>
      </w:r>
    </w:p>
    <w:p w14:paraId="730BAE8F">
      <w:pPr>
        <w:keepNext w:val="0"/>
        <w:keepLines w:val="0"/>
        <w:pageBreakBefore w:val="0"/>
        <w:kinsoku/>
        <w:overflowPunct/>
        <w:topLinePunct w:val="0"/>
        <w:autoSpaceDE/>
        <w:autoSpaceDN/>
        <w:bidi w:val="0"/>
        <w:adjustRightInd/>
        <w:spacing w:line="380" w:lineRule="exact"/>
        <w:ind w:firstLine="420" w:firstLineChars="200"/>
        <w:textAlignment w:val="auto"/>
        <w:rPr>
          <w:rFonts w:ascii="宋体" w:hAnsi="宋体"/>
          <w:color w:val="auto"/>
          <w:szCs w:val="21"/>
        </w:rPr>
      </w:pPr>
      <w:r>
        <w:rPr>
          <w:rFonts w:hint="eastAsia" w:ascii="宋体" w:hAnsi="宋体"/>
          <w:color w:val="auto"/>
          <w:szCs w:val="21"/>
        </w:rPr>
        <w:t>6.2磋商供应商提交的竞争性磋商响应文件以及磋商供应商与</w:t>
      </w:r>
      <w:r>
        <w:rPr>
          <w:rFonts w:hint="eastAsia"/>
          <w:color w:val="auto"/>
        </w:rPr>
        <w:t>广西国力招标有限公司</w:t>
      </w:r>
      <w:r>
        <w:rPr>
          <w:rFonts w:hint="eastAsia" w:ascii="宋体" w:hAnsi="宋体"/>
          <w:color w:val="auto"/>
          <w:szCs w:val="21"/>
        </w:rPr>
        <w:t>和采购人就有关磋商的所有来往函电均应使用中文。磋商供应商提交的支持文件和印刷的文献可以使用别的语言，但其相应内容必须附有中文翻译文本，在解释竞争性磋商响应文件时以翻译文本为主。</w:t>
      </w:r>
    </w:p>
    <w:p w14:paraId="03963924">
      <w:pPr>
        <w:keepNext w:val="0"/>
        <w:keepLines w:val="0"/>
        <w:pageBreakBefore w:val="0"/>
        <w:kinsoku/>
        <w:overflowPunct/>
        <w:topLinePunct w:val="0"/>
        <w:autoSpaceDE/>
        <w:autoSpaceDN/>
        <w:bidi w:val="0"/>
        <w:adjustRightInd/>
        <w:spacing w:line="380" w:lineRule="exact"/>
        <w:ind w:firstLine="420" w:firstLineChars="200"/>
        <w:textAlignment w:val="auto"/>
        <w:rPr>
          <w:rFonts w:ascii="宋体" w:hAnsi="宋体"/>
          <w:color w:val="auto"/>
          <w:szCs w:val="21"/>
        </w:rPr>
      </w:pPr>
      <w:r>
        <w:rPr>
          <w:rFonts w:hint="eastAsia" w:ascii="宋体" w:hAnsi="宋体"/>
          <w:color w:val="auto"/>
          <w:szCs w:val="21"/>
        </w:rPr>
        <w:t>6.3除技术要求中另有规定外，本文件所要求使用的计量单位均应采用国家法定计量单位。</w:t>
      </w:r>
    </w:p>
    <w:p w14:paraId="0FA3DD7C">
      <w:pPr>
        <w:keepNext w:val="0"/>
        <w:keepLines w:val="0"/>
        <w:pageBreakBefore w:val="0"/>
        <w:kinsoku/>
        <w:overflowPunct/>
        <w:topLinePunct w:val="0"/>
        <w:autoSpaceDE/>
        <w:autoSpaceDN/>
        <w:bidi w:val="0"/>
        <w:adjustRightInd/>
        <w:spacing w:line="380" w:lineRule="exact"/>
        <w:ind w:firstLine="420" w:firstLineChars="200"/>
        <w:textAlignment w:val="auto"/>
        <w:rPr>
          <w:rFonts w:ascii="宋体" w:hAnsi="宋体"/>
          <w:color w:val="auto"/>
          <w:szCs w:val="21"/>
        </w:rPr>
      </w:pPr>
      <w:r>
        <w:rPr>
          <w:rFonts w:hint="eastAsia" w:ascii="宋体" w:hAnsi="宋体"/>
          <w:color w:val="auto"/>
          <w:szCs w:val="21"/>
        </w:rPr>
        <w:t>6.4磋商供应商应认真阅读、并充分理解本文件的全部内容（包括所有的</w:t>
      </w:r>
      <w:r>
        <w:rPr>
          <w:rFonts w:hint="eastAsia" w:ascii="宋体" w:hAnsi="宋体"/>
          <w:color w:val="auto"/>
        </w:rPr>
        <w:t>澄清、</w:t>
      </w:r>
      <w:r>
        <w:rPr>
          <w:rFonts w:hint="eastAsia" w:ascii="宋体" w:hAnsi="宋体"/>
          <w:color w:val="auto"/>
          <w:szCs w:val="21"/>
        </w:rPr>
        <w:t>更改、补充、答疑等内容），承诺并履行本文件中各项条款规定及要求。</w:t>
      </w:r>
    </w:p>
    <w:p w14:paraId="657580D7">
      <w:pPr>
        <w:keepNext w:val="0"/>
        <w:keepLines w:val="0"/>
        <w:pageBreakBefore w:val="0"/>
        <w:kinsoku/>
        <w:overflowPunct/>
        <w:topLinePunct w:val="0"/>
        <w:autoSpaceDE/>
        <w:autoSpaceDN/>
        <w:bidi w:val="0"/>
        <w:adjustRightInd/>
        <w:spacing w:line="380" w:lineRule="exact"/>
        <w:ind w:firstLine="420" w:firstLineChars="200"/>
        <w:textAlignment w:val="auto"/>
        <w:rPr>
          <w:rFonts w:ascii="宋体" w:hAnsi="宋体"/>
          <w:color w:val="auto"/>
          <w:szCs w:val="21"/>
        </w:rPr>
      </w:pPr>
      <w:r>
        <w:rPr>
          <w:rFonts w:hint="eastAsia" w:ascii="宋体" w:hAnsi="宋体"/>
          <w:color w:val="auto"/>
          <w:szCs w:val="21"/>
        </w:rPr>
        <w:t>6.5竞争性磋商响应文件必须按本文件的全部内容，包括所有的</w:t>
      </w:r>
      <w:r>
        <w:rPr>
          <w:rFonts w:hint="eastAsia" w:ascii="宋体" w:hAnsi="宋体"/>
          <w:color w:val="auto"/>
        </w:rPr>
        <w:t>澄清、</w:t>
      </w:r>
      <w:r>
        <w:rPr>
          <w:rFonts w:hint="eastAsia" w:ascii="宋体" w:hAnsi="宋体"/>
          <w:color w:val="auto"/>
          <w:szCs w:val="21"/>
        </w:rPr>
        <w:t>更改、补充、答疑等内容及附件进行编制。</w:t>
      </w:r>
    </w:p>
    <w:p w14:paraId="47A6FB1D">
      <w:pPr>
        <w:keepNext w:val="0"/>
        <w:keepLines w:val="0"/>
        <w:pageBreakBefore w:val="0"/>
        <w:kinsoku/>
        <w:overflowPunct/>
        <w:topLinePunct w:val="0"/>
        <w:autoSpaceDE/>
        <w:autoSpaceDN/>
        <w:bidi w:val="0"/>
        <w:adjustRightInd/>
        <w:spacing w:line="380" w:lineRule="exact"/>
        <w:ind w:firstLine="420" w:firstLineChars="200"/>
        <w:textAlignment w:val="auto"/>
        <w:rPr>
          <w:rFonts w:ascii="宋体" w:hAnsi="宋体"/>
          <w:color w:val="auto"/>
          <w:szCs w:val="21"/>
        </w:rPr>
      </w:pPr>
      <w:r>
        <w:rPr>
          <w:rFonts w:hint="eastAsia" w:ascii="宋体" w:hAnsi="宋体"/>
          <w:color w:val="auto"/>
          <w:szCs w:val="21"/>
        </w:rPr>
        <w:t>6.6如因磋商供应商只填写和提供了本文件要求的部分内容和附件，而给磋商小组评审造成困难，其可能导致的结果和责任由磋商供应商自行承担。</w:t>
      </w:r>
    </w:p>
    <w:p w14:paraId="7B94964D">
      <w:pPr>
        <w:keepNext w:val="0"/>
        <w:keepLines w:val="0"/>
        <w:pageBreakBefore w:val="0"/>
        <w:kinsoku/>
        <w:overflowPunct/>
        <w:topLinePunct w:val="0"/>
        <w:autoSpaceDE/>
        <w:autoSpaceDN/>
        <w:bidi w:val="0"/>
        <w:adjustRightInd/>
        <w:spacing w:line="380" w:lineRule="exact"/>
        <w:ind w:firstLine="420" w:firstLineChars="200"/>
        <w:textAlignment w:val="auto"/>
        <w:rPr>
          <w:rFonts w:ascii="宋体" w:hAnsi="宋体"/>
          <w:color w:val="auto"/>
          <w:szCs w:val="21"/>
          <w:highlight w:val="yellow"/>
        </w:rPr>
      </w:pPr>
      <w:r>
        <w:rPr>
          <w:rFonts w:hint="eastAsia" w:ascii="宋体" w:hAnsi="宋体"/>
          <w:color w:val="auto"/>
          <w:szCs w:val="21"/>
        </w:rPr>
        <w:t>6.7竞争性磋商响应文件的组成：竞争性磋商响应文件应由价格文件和商务技术文件两个部分组成</w:t>
      </w:r>
      <w:r>
        <w:rPr>
          <w:rFonts w:hint="eastAsia" w:ascii="宋体" w:hAnsi="宋体" w:cs="Arial"/>
          <w:color w:val="auto"/>
          <w:szCs w:val="21"/>
        </w:rPr>
        <w:t>（要求装订成一本）</w:t>
      </w:r>
      <w:r>
        <w:rPr>
          <w:rFonts w:hint="eastAsia" w:ascii="宋体" w:hAnsi="宋体"/>
          <w:color w:val="auto"/>
          <w:szCs w:val="21"/>
        </w:rPr>
        <w:t>。</w:t>
      </w:r>
      <w:r>
        <w:rPr>
          <w:rFonts w:hint="eastAsia" w:ascii="宋体" w:hAnsi="宋体"/>
          <w:b/>
          <w:bCs/>
          <w:color w:val="auto"/>
          <w:szCs w:val="21"/>
        </w:rPr>
        <w:t>（以下文件要求必须提供的文件如未提供，磋商小组有权拒绝其竞争性磋商响应文件）</w:t>
      </w:r>
    </w:p>
    <w:p w14:paraId="5B5D7CBC">
      <w:pPr>
        <w:keepNext w:val="0"/>
        <w:keepLines w:val="0"/>
        <w:pageBreakBefore w:val="0"/>
        <w:kinsoku/>
        <w:overflowPunct/>
        <w:topLinePunct w:val="0"/>
        <w:autoSpaceDE/>
        <w:autoSpaceDN/>
        <w:bidi w:val="0"/>
        <w:adjustRightInd/>
        <w:spacing w:line="380" w:lineRule="exact"/>
        <w:ind w:firstLine="422" w:firstLineChars="200"/>
        <w:textAlignment w:val="auto"/>
        <w:rPr>
          <w:rFonts w:ascii="宋体" w:hAnsi="宋体"/>
          <w:b/>
          <w:color w:val="auto"/>
          <w:szCs w:val="21"/>
        </w:rPr>
      </w:pPr>
      <w:r>
        <w:rPr>
          <w:rFonts w:hint="eastAsia" w:ascii="宋体" w:hAnsi="宋体"/>
          <w:b/>
          <w:color w:val="auto"/>
          <w:szCs w:val="21"/>
        </w:rPr>
        <w:t>6.7.1第一部分：价格文件</w:t>
      </w:r>
    </w:p>
    <w:p w14:paraId="14B3439B">
      <w:pPr>
        <w:keepNext w:val="0"/>
        <w:keepLines w:val="0"/>
        <w:pageBreakBefore w:val="0"/>
        <w:kinsoku/>
        <w:overflowPunct/>
        <w:topLinePunct w:val="0"/>
        <w:autoSpaceDE/>
        <w:autoSpaceDN/>
        <w:bidi w:val="0"/>
        <w:adjustRightInd/>
        <w:spacing w:line="380" w:lineRule="exact"/>
        <w:ind w:firstLine="420" w:firstLineChars="200"/>
        <w:textAlignment w:val="auto"/>
        <w:rPr>
          <w:rFonts w:ascii="宋体" w:hAnsi="宋体"/>
          <w:b/>
          <w:color w:val="auto"/>
          <w:szCs w:val="21"/>
        </w:rPr>
      </w:pPr>
      <w:r>
        <w:rPr>
          <w:rFonts w:hint="eastAsia" w:ascii="宋体" w:hAnsi="宋体"/>
          <w:color w:val="auto"/>
          <w:szCs w:val="21"/>
        </w:rPr>
        <w:t>1）报价表；（附件一）</w:t>
      </w:r>
      <w:r>
        <w:rPr>
          <w:rFonts w:hint="eastAsia" w:ascii="宋体" w:hAnsi="宋体"/>
          <w:b/>
          <w:color w:val="auto"/>
          <w:szCs w:val="21"/>
        </w:rPr>
        <w:t>[必须提供]</w:t>
      </w:r>
    </w:p>
    <w:p w14:paraId="7B4345E7">
      <w:pPr>
        <w:keepNext w:val="0"/>
        <w:keepLines w:val="0"/>
        <w:pageBreakBefore w:val="0"/>
        <w:kinsoku/>
        <w:overflowPunct/>
        <w:topLinePunct w:val="0"/>
        <w:autoSpaceDE/>
        <w:autoSpaceDN/>
        <w:bidi w:val="0"/>
        <w:adjustRightInd/>
        <w:spacing w:line="380" w:lineRule="exact"/>
        <w:ind w:firstLine="422" w:firstLineChars="200"/>
        <w:textAlignment w:val="auto"/>
        <w:rPr>
          <w:rFonts w:ascii="宋体" w:hAnsi="宋体"/>
          <w:color w:val="auto"/>
          <w:szCs w:val="21"/>
        </w:rPr>
      </w:pPr>
      <w:r>
        <w:rPr>
          <w:rFonts w:hint="eastAsia" w:ascii="宋体" w:hAnsi="宋体"/>
          <w:b/>
          <w:color w:val="auto"/>
          <w:szCs w:val="21"/>
        </w:rPr>
        <w:t>6.7.2 第二部分：商务技术文件</w:t>
      </w:r>
    </w:p>
    <w:p w14:paraId="340CB540">
      <w:pPr>
        <w:keepNext w:val="0"/>
        <w:keepLines w:val="0"/>
        <w:pageBreakBefore w:val="0"/>
        <w:kinsoku/>
        <w:overflowPunct/>
        <w:topLinePunct w:val="0"/>
        <w:autoSpaceDE/>
        <w:autoSpaceDN/>
        <w:bidi w:val="0"/>
        <w:adjustRightInd/>
        <w:spacing w:line="380" w:lineRule="exact"/>
        <w:ind w:firstLine="420" w:firstLineChars="200"/>
        <w:textAlignment w:val="auto"/>
        <w:rPr>
          <w:rFonts w:ascii="宋体" w:hAnsi="宋体"/>
          <w:color w:val="auto"/>
          <w:szCs w:val="21"/>
        </w:rPr>
      </w:pPr>
      <w:r>
        <w:rPr>
          <w:rFonts w:hint="eastAsia" w:ascii="宋体" w:hAnsi="宋体"/>
          <w:color w:val="auto"/>
          <w:szCs w:val="21"/>
        </w:rPr>
        <w:t>1）磋商书及磋商声明书；（附件二）</w:t>
      </w:r>
      <w:r>
        <w:rPr>
          <w:rFonts w:hint="eastAsia" w:ascii="宋体" w:hAnsi="宋体"/>
          <w:b/>
          <w:color w:val="auto"/>
          <w:szCs w:val="21"/>
        </w:rPr>
        <w:t>[必须提供]</w:t>
      </w:r>
    </w:p>
    <w:p w14:paraId="384E5BB6">
      <w:pPr>
        <w:keepNext w:val="0"/>
        <w:keepLines w:val="0"/>
        <w:pageBreakBefore w:val="0"/>
        <w:kinsoku/>
        <w:overflowPunct/>
        <w:topLinePunct w:val="0"/>
        <w:autoSpaceDE/>
        <w:autoSpaceDN/>
        <w:bidi w:val="0"/>
        <w:adjustRightInd/>
        <w:spacing w:line="380" w:lineRule="exact"/>
        <w:ind w:firstLine="420" w:firstLineChars="200"/>
        <w:textAlignment w:val="auto"/>
        <w:rPr>
          <w:rFonts w:ascii="宋体" w:hAnsi="宋体"/>
          <w:color w:val="auto"/>
          <w:szCs w:val="21"/>
        </w:rPr>
      </w:pPr>
      <w:r>
        <w:rPr>
          <w:rFonts w:hint="eastAsia" w:ascii="宋体" w:hAnsi="宋体"/>
          <w:color w:val="auto"/>
          <w:szCs w:val="21"/>
        </w:rPr>
        <w:t>2）商务、服务响应、偏离情况说明表；（附件三）</w:t>
      </w:r>
      <w:r>
        <w:rPr>
          <w:rFonts w:hint="eastAsia" w:ascii="宋体" w:hAnsi="宋体"/>
          <w:b/>
          <w:color w:val="auto"/>
          <w:szCs w:val="21"/>
        </w:rPr>
        <w:t>[必须提供]</w:t>
      </w:r>
    </w:p>
    <w:p w14:paraId="083EBA39">
      <w:pPr>
        <w:keepNext w:val="0"/>
        <w:keepLines w:val="0"/>
        <w:pageBreakBefore w:val="0"/>
        <w:kinsoku/>
        <w:overflowPunct/>
        <w:topLinePunct w:val="0"/>
        <w:autoSpaceDE/>
        <w:autoSpaceDN/>
        <w:bidi w:val="0"/>
        <w:adjustRightInd/>
        <w:snapToGrid w:val="0"/>
        <w:spacing w:line="380" w:lineRule="exact"/>
        <w:ind w:firstLine="411" w:firstLineChars="196"/>
        <w:jc w:val="left"/>
        <w:textAlignment w:val="auto"/>
        <w:rPr>
          <w:rFonts w:ascii="宋体" w:hAnsi="宋体"/>
          <w:color w:val="auto"/>
          <w:szCs w:val="21"/>
        </w:rPr>
      </w:pPr>
      <w:r>
        <w:rPr>
          <w:rFonts w:hint="eastAsia" w:ascii="宋体" w:hAnsi="宋体"/>
          <w:color w:val="auto"/>
          <w:szCs w:val="21"/>
        </w:rPr>
        <w:t>3）法定代表人身份证正、反面复印件；</w:t>
      </w:r>
      <w:r>
        <w:rPr>
          <w:rFonts w:hint="eastAsia" w:ascii="宋体" w:hAnsi="宋体"/>
          <w:b/>
          <w:color w:val="auto"/>
          <w:szCs w:val="21"/>
        </w:rPr>
        <w:t>[必须提供]</w:t>
      </w:r>
      <w:r>
        <w:rPr>
          <w:rFonts w:hint="eastAsia" w:ascii="宋体" w:hAnsi="宋体"/>
          <w:color w:val="auto"/>
          <w:szCs w:val="21"/>
        </w:rPr>
        <w:t xml:space="preserve"> </w:t>
      </w:r>
    </w:p>
    <w:p w14:paraId="476C9EDE">
      <w:pPr>
        <w:keepNext w:val="0"/>
        <w:keepLines w:val="0"/>
        <w:pageBreakBefore w:val="0"/>
        <w:kinsoku/>
        <w:overflowPunct/>
        <w:topLinePunct w:val="0"/>
        <w:autoSpaceDE/>
        <w:autoSpaceDN/>
        <w:bidi w:val="0"/>
        <w:adjustRightInd/>
        <w:spacing w:line="380" w:lineRule="exact"/>
        <w:ind w:firstLine="420" w:firstLineChars="200"/>
        <w:textAlignment w:val="auto"/>
        <w:rPr>
          <w:rFonts w:ascii="宋体" w:hAnsi="宋体"/>
          <w:color w:val="auto"/>
          <w:szCs w:val="21"/>
        </w:rPr>
      </w:pPr>
      <w:r>
        <w:rPr>
          <w:rFonts w:hint="eastAsia" w:ascii="宋体" w:hAnsi="宋体"/>
          <w:color w:val="auto"/>
          <w:szCs w:val="21"/>
        </w:rPr>
        <w:t>4）法定代表人授权委托书原件</w:t>
      </w:r>
      <w:r>
        <w:rPr>
          <w:rFonts w:hint="eastAsia" w:ascii="宋体" w:hAnsi="宋体"/>
          <w:color w:val="auto"/>
        </w:rPr>
        <w:t>和委托代理人身份证正、反面复印件</w:t>
      </w:r>
      <w:r>
        <w:rPr>
          <w:rFonts w:hint="eastAsia" w:ascii="宋体" w:hAnsi="宋体"/>
          <w:color w:val="auto"/>
          <w:szCs w:val="21"/>
        </w:rPr>
        <w:t>；（附件四）</w:t>
      </w:r>
      <w:r>
        <w:rPr>
          <w:rFonts w:hint="eastAsia" w:ascii="宋体" w:hAnsi="宋体"/>
          <w:b/>
          <w:color w:val="auto"/>
        </w:rPr>
        <w:t xml:space="preserve"> [委托代理时</w:t>
      </w:r>
      <w:r>
        <w:rPr>
          <w:rFonts w:hint="eastAsia" w:ascii="宋体" w:hAnsi="宋体"/>
          <w:b/>
          <w:bCs/>
          <w:color w:val="auto"/>
        </w:rPr>
        <w:t>必须提供</w:t>
      </w:r>
      <w:r>
        <w:rPr>
          <w:rFonts w:hint="eastAsia" w:ascii="宋体" w:hAnsi="宋体"/>
          <w:b/>
          <w:color w:val="auto"/>
        </w:rPr>
        <w:t>]</w:t>
      </w:r>
      <w:r>
        <w:rPr>
          <w:rFonts w:hint="eastAsia" w:ascii="宋体" w:hAnsi="宋体"/>
          <w:color w:val="auto"/>
          <w:szCs w:val="21"/>
        </w:rPr>
        <w:t xml:space="preserve">； </w:t>
      </w:r>
    </w:p>
    <w:p w14:paraId="1A185508">
      <w:pPr>
        <w:keepNext w:val="0"/>
        <w:keepLines w:val="0"/>
        <w:pageBreakBefore w:val="0"/>
        <w:kinsoku/>
        <w:overflowPunct/>
        <w:topLinePunct w:val="0"/>
        <w:autoSpaceDE/>
        <w:autoSpaceDN/>
        <w:bidi w:val="0"/>
        <w:adjustRightInd/>
        <w:spacing w:line="380" w:lineRule="exact"/>
        <w:ind w:firstLine="420" w:firstLineChars="200"/>
        <w:textAlignment w:val="auto"/>
        <w:rPr>
          <w:rFonts w:hint="eastAsia" w:ascii="宋体" w:hAnsi="宋体"/>
          <w:color w:val="auto"/>
          <w:szCs w:val="21"/>
        </w:rPr>
      </w:pPr>
      <w:r>
        <w:rPr>
          <w:rFonts w:hint="eastAsia" w:ascii="宋体" w:hAnsi="宋体"/>
          <w:color w:val="auto"/>
          <w:szCs w:val="21"/>
        </w:rPr>
        <w:t>5）磋商供应商有效的“主体资格证明文件”复印件（如营业执照、事业单位法人证书、执业许可证、自然人身份证等）；</w:t>
      </w:r>
      <w:r>
        <w:rPr>
          <w:rFonts w:hint="eastAsia" w:hAnsi="宋体"/>
          <w:b/>
          <w:color w:val="auto"/>
        </w:rPr>
        <w:t xml:space="preserve">[必须提供，原件备查] </w:t>
      </w:r>
    </w:p>
    <w:p w14:paraId="3731949C">
      <w:pPr>
        <w:keepNext w:val="0"/>
        <w:keepLines w:val="0"/>
        <w:pageBreakBefore w:val="0"/>
        <w:kinsoku/>
        <w:overflowPunct/>
        <w:topLinePunct w:val="0"/>
        <w:autoSpaceDE/>
        <w:autoSpaceDN/>
        <w:bidi w:val="0"/>
        <w:adjustRightInd/>
        <w:spacing w:line="380" w:lineRule="exact"/>
        <w:ind w:firstLine="420" w:firstLineChars="200"/>
        <w:textAlignment w:val="auto"/>
        <w:rPr>
          <w:rFonts w:ascii="宋体" w:hAnsi="宋体"/>
          <w:color w:val="auto"/>
          <w:szCs w:val="21"/>
        </w:rPr>
      </w:pPr>
      <w:r>
        <w:rPr>
          <w:rFonts w:hint="eastAsia" w:ascii="宋体" w:hAnsi="宋体"/>
          <w:color w:val="auto"/>
          <w:szCs w:val="21"/>
        </w:rPr>
        <w:t>6）财务状况报告</w:t>
      </w:r>
      <w:r>
        <w:rPr>
          <w:rFonts w:hint="eastAsia" w:ascii="宋体" w:hAnsi="宋体" w:cs="宋体"/>
          <w:color w:val="000000" w:themeColor="text1"/>
          <w:szCs w:val="21"/>
          <w14:textFill>
            <w14:solidFill>
              <w14:schemeClr w14:val="tx1"/>
            </w14:solidFill>
          </w14:textFill>
        </w:rPr>
        <w:t>，供应商成立不满一年的应按提供截标之日上一个月的财务状况报表</w:t>
      </w:r>
      <w:r>
        <w:rPr>
          <w:rFonts w:hint="eastAsia" w:ascii="宋体" w:hAnsi="宋体"/>
          <w:color w:val="auto"/>
          <w:szCs w:val="21"/>
        </w:rPr>
        <w:t>；[</w:t>
      </w:r>
      <w:r>
        <w:rPr>
          <w:rFonts w:hint="eastAsia" w:ascii="宋体" w:hAnsi="宋体"/>
          <w:b/>
          <w:color w:val="auto"/>
          <w:szCs w:val="21"/>
        </w:rPr>
        <w:t>格式自拟，</w:t>
      </w:r>
      <w:r>
        <w:rPr>
          <w:rFonts w:hint="eastAsia" w:ascii="宋体" w:hAnsi="宋体"/>
          <w:b/>
          <w:bCs/>
          <w:color w:val="auto"/>
          <w:szCs w:val="21"/>
        </w:rPr>
        <w:t>必须提供</w:t>
      </w:r>
      <w:r>
        <w:rPr>
          <w:rFonts w:hAnsi="宋体"/>
          <w:color w:val="auto"/>
        </w:rPr>
        <w:t>]</w:t>
      </w:r>
      <w:r>
        <w:rPr>
          <w:rFonts w:hint="eastAsia" w:ascii="宋体" w:hAnsi="宋体"/>
          <w:color w:val="auto"/>
          <w:szCs w:val="21"/>
        </w:rPr>
        <w:t xml:space="preserve"> </w:t>
      </w:r>
    </w:p>
    <w:p w14:paraId="4D336BC4">
      <w:pPr>
        <w:keepNext w:val="0"/>
        <w:keepLines w:val="0"/>
        <w:pageBreakBefore w:val="0"/>
        <w:kinsoku/>
        <w:overflowPunct/>
        <w:topLinePunct w:val="0"/>
        <w:autoSpaceDE/>
        <w:autoSpaceDN/>
        <w:bidi w:val="0"/>
        <w:adjustRightInd/>
        <w:snapToGrid w:val="0"/>
        <w:spacing w:line="380" w:lineRule="exact"/>
        <w:ind w:firstLine="411" w:firstLineChars="196"/>
        <w:jc w:val="left"/>
        <w:textAlignment w:val="auto"/>
        <w:rPr>
          <w:rFonts w:ascii="宋体" w:hAnsi="宋体"/>
          <w:color w:val="auto"/>
          <w:szCs w:val="21"/>
        </w:rPr>
      </w:pPr>
      <w:r>
        <w:rPr>
          <w:rFonts w:hint="eastAsia" w:ascii="宋体" w:hAnsi="宋体"/>
          <w:color w:val="auto"/>
          <w:szCs w:val="21"/>
        </w:rPr>
        <w:t xml:space="preserve">7）响应文件递交截止之日前一年内磋商供应商连续三个月的依法缴纳税费或依法免缴税费的证明复印件；无纳税记录的，应提供由磋商供应商所在地的税务部门出具的《依法纳税或依法免税证明》复印件； </w:t>
      </w:r>
      <w:r>
        <w:rPr>
          <w:rFonts w:hint="eastAsia" w:ascii="宋体" w:hAnsi="宋体"/>
          <w:b/>
          <w:color w:val="auto"/>
        </w:rPr>
        <w:t>（原件备查，必须提供，新成立单位按实际提供）</w:t>
      </w:r>
    </w:p>
    <w:p w14:paraId="36DE427A">
      <w:pPr>
        <w:keepNext w:val="0"/>
        <w:keepLines w:val="0"/>
        <w:pageBreakBefore w:val="0"/>
        <w:kinsoku/>
        <w:overflowPunct/>
        <w:topLinePunct w:val="0"/>
        <w:autoSpaceDE/>
        <w:autoSpaceDN/>
        <w:bidi w:val="0"/>
        <w:adjustRightInd/>
        <w:snapToGrid w:val="0"/>
        <w:spacing w:line="380" w:lineRule="exact"/>
        <w:ind w:firstLine="411" w:firstLineChars="196"/>
        <w:jc w:val="left"/>
        <w:textAlignment w:val="auto"/>
        <w:rPr>
          <w:rFonts w:ascii="宋体" w:hAnsi="宋体"/>
          <w:color w:val="auto"/>
          <w:szCs w:val="21"/>
        </w:rPr>
      </w:pPr>
      <w:r>
        <w:rPr>
          <w:rFonts w:hint="eastAsia" w:ascii="宋体" w:hAnsi="宋体"/>
          <w:color w:val="auto"/>
          <w:szCs w:val="21"/>
        </w:rPr>
        <w:t>8）响应文件递交截止之日前一年内磋商供应商连续三个月的依法缴纳社保费的缴费凭证复印件</w:t>
      </w:r>
      <w:r>
        <w:rPr>
          <w:rFonts w:hint="eastAsia" w:ascii="宋体" w:hAnsi="宋体" w:cs="宋体"/>
          <w:color w:val="auto"/>
          <w:szCs w:val="21"/>
          <w:lang w:eastAsia="zh-CN"/>
        </w:rPr>
        <w:t>，</w:t>
      </w:r>
      <w:r>
        <w:rPr>
          <w:rFonts w:hint="eastAsia" w:ascii="宋体" w:hAnsi="宋体"/>
          <w:color w:val="auto"/>
          <w:szCs w:val="21"/>
        </w:rPr>
        <w:t>无缴费记录的，应提供由磋商供应商所在地社保部门出具的《依法缴纳或依法免缴社保费证明》复印件；</w:t>
      </w:r>
      <w:r>
        <w:rPr>
          <w:rFonts w:hint="eastAsia" w:ascii="宋体" w:hAnsi="宋体"/>
          <w:b/>
          <w:color w:val="auto"/>
        </w:rPr>
        <w:t>（必须提供，原件备查，新成立单位按实际提供）</w:t>
      </w:r>
    </w:p>
    <w:p w14:paraId="2CFB0D17">
      <w:pPr>
        <w:keepNext w:val="0"/>
        <w:keepLines w:val="0"/>
        <w:pageBreakBefore w:val="0"/>
        <w:kinsoku/>
        <w:wordWrap w:val="0"/>
        <w:overflowPunct/>
        <w:topLinePunct w:val="0"/>
        <w:autoSpaceDE/>
        <w:autoSpaceDN/>
        <w:bidi w:val="0"/>
        <w:adjustRightInd/>
        <w:snapToGrid w:val="0"/>
        <w:spacing w:line="380" w:lineRule="exact"/>
        <w:ind w:firstLine="411" w:firstLineChars="196"/>
        <w:jc w:val="left"/>
        <w:textAlignment w:val="auto"/>
        <w:rPr>
          <w:rFonts w:ascii="宋体" w:hAnsi="宋体"/>
          <w:color w:val="auto"/>
          <w:szCs w:val="21"/>
        </w:rPr>
      </w:pPr>
      <w:r>
        <w:rPr>
          <w:rFonts w:hint="eastAsia" w:ascii="宋体" w:hAnsi="宋体"/>
          <w:color w:val="auto"/>
          <w:szCs w:val="21"/>
        </w:rPr>
        <w:t>9）</w:t>
      </w:r>
      <w:r>
        <w:rPr>
          <w:rFonts w:ascii="宋体" w:hAnsi="宋体" w:cs="宋体"/>
          <w:color w:val="auto"/>
          <w:kern w:val="0"/>
          <w:szCs w:val="21"/>
        </w:rPr>
        <w:t>参加采购活动前</w:t>
      </w:r>
      <w:r>
        <w:rPr>
          <w:rFonts w:hint="eastAsia" w:ascii="宋体" w:hAnsi="宋体" w:cs="宋体"/>
          <w:color w:val="auto"/>
          <w:kern w:val="0"/>
          <w:szCs w:val="21"/>
        </w:rPr>
        <w:t>三</w:t>
      </w:r>
      <w:r>
        <w:rPr>
          <w:rFonts w:ascii="宋体" w:hAnsi="宋体" w:cs="宋体"/>
          <w:color w:val="auto"/>
          <w:kern w:val="0"/>
          <w:szCs w:val="21"/>
        </w:rPr>
        <w:t>年内在经营活动中没有重大违法记录和不良信用记录的书面声明</w:t>
      </w:r>
      <w:r>
        <w:rPr>
          <w:rFonts w:hint="eastAsia" w:ascii="Arial" w:hAnsi="Arial" w:cs="Arial"/>
          <w:color w:val="auto"/>
          <w:kern w:val="0"/>
          <w:sz w:val="24"/>
        </w:rPr>
        <w:t>；</w:t>
      </w:r>
      <w:r>
        <w:rPr>
          <w:rFonts w:hint="eastAsia" w:ascii="宋体" w:hAnsi="宋体"/>
          <w:b/>
          <w:color w:val="auto"/>
          <w:szCs w:val="21"/>
        </w:rPr>
        <w:t>[格式自拟，必须提供]</w:t>
      </w:r>
    </w:p>
    <w:p w14:paraId="252E4883">
      <w:pPr>
        <w:keepNext w:val="0"/>
        <w:keepLines w:val="0"/>
        <w:pageBreakBefore w:val="0"/>
        <w:kinsoku/>
        <w:wordWrap w:val="0"/>
        <w:overflowPunct/>
        <w:topLinePunct w:val="0"/>
        <w:autoSpaceDE/>
        <w:autoSpaceDN/>
        <w:bidi w:val="0"/>
        <w:adjustRightInd/>
        <w:snapToGrid w:val="0"/>
        <w:spacing w:line="380" w:lineRule="exact"/>
        <w:ind w:firstLine="411" w:firstLineChars="196"/>
        <w:jc w:val="left"/>
        <w:textAlignment w:val="auto"/>
        <w:rPr>
          <w:rFonts w:ascii="宋体" w:hAnsi="宋体"/>
          <w:b/>
          <w:color w:val="auto"/>
          <w:szCs w:val="21"/>
        </w:rPr>
      </w:pPr>
      <w:r>
        <w:rPr>
          <w:rFonts w:hint="eastAsia" w:ascii="宋体" w:hAnsi="宋体"/>
          <w:bCs/>
          <w:color w:val="auto"/>
          <w:szCs w:val="21"/>
        </w:rPr>
        <w:t>10）</w:t>
      </w:r>
      <w:r>
        <w:rPr>
          <w:rFonts w:ascii="宋体" w:hAnsi="宋体"/>
          <w:bCs/>
          <w:color w:val="auto"/>
          <w:szCs w:val="21"/>
        </w:rPr>
        <w:t>具</w:t>
      </w:r>
      <w:r>
        <w:rPr>
          <w:rFonts w:ascii="宋体" w:hAnsi="宋体"/>
          <w:color w:val="auto"/>
          <w:szCs w:val="21"/>
        </w:rPr>
        <w:t>备履行合同所必需的设备</w:t>
      </w:r>
      <w:r>
        <w:rPr>
          <w:rFonts w:hint="eastAsia" w:ascii="宋体" w:hAnsi="宋体"/>
          <w:color w:val="auto"/>
          <w:szCs w:val="21"/>
        </w:rPr>
        <w:t>或</w:t>
      </w:r>
      <w:r>
        <w:rPr>
          <w:rFonts w:ascii="宋体" w:hAnsi="宋体"/>
          <w:color w:val="auto"/>
          <w:szCs w:val="21"/>
        </w:rPr>
        <w:t>专业技术能力的证明材料</w:t>
      </w:r>
      <w:r>
        <w:rPr>
          <w:rFonts w:hint="eastAsia" w:ascii="宋体" w:hAnsi="宋体" w:cs="宋体"/>
          <w:color w:val="auto"/>
          <w:kern w:val="0"/>
          <w:szCs w:val="21"/>
        </w:rPr>
        <w:t>；</w:t>
      </w:r>
      <w:r>
        <w:rPr>
          <w:rFonts w:hint="eastAsia" w:ascii="宋体" w:hAnsi="宋体"/>
          <w:b/>
          <w:color w:val="auto"/>
          <w:szCs w:val="21"/>
        </w:rPr>
        <w:t>[格式自拟</w:t>
      </w:r>
      <w:r>
        <w:rPr>
          <w:rFonts w:hint="eastAsia" w:ascii="宋体" w:hAnsi="宋体"/>
          <w:b/>
          <w:color w:val="auto"/>
          <w:szCs w:val="21"/>
          <w:lang w:eastAsia="zh-CN"/>
        </w:rPr>
        <w:t>，必须提供</w:t>
      </w:r>
      <w:r>
        <w:rPr>
          <w:rFonts w:hint="eastAsia" w:ascii="宋体" w:hAnsi="宋体"/>
          <w:b/>
          <w:color w:val="auto"/>
          <w:szCs w:val="21"/>
        </w:rPr>
        <w:t>]</w:t>
      </w:r>
    </w:p>
    <w:p w14:paraId="6376C2CA">
      <w:pPr>
        <w:keepNext w:val="0"/>
        <w:keepLines w:val="0"/>
        <w:pageBreakBefore w:val="0"/>
        <w:kinsoku/>
        <w:overflowPunct/>
        <w:topLinePunct w:val="0"/>
        <w:autoSpaceDE/>
        <w:autoSpaceDN/>
        <w:bidi w:val="0"/>
        <w:adjustRightInd/>
        <w:spacing w:line="380" w:lineRule="exact"/>
        <w:ind w:firstLine="420" w:firstLineChars="200"/>
        <w:textAlignment w:val="auto"/>
        <w:rPr>
          <w:rFonts w:ascii="宋体" w:hAnsi="宋体"/>
          <w:color w:val="auto"/>
          <w:szCs w:val="21"/>
        </w:rPr>
      </w:pPr>
      <w:r>
        <w:rPr>
          <w:rFonts w:hint="eastAsia" w:ascii="宋体" w:hAnsi="宋体"/>
          <w:color w:val="auto"/>
          <w:szCs w:val="21"/>
        </w:rPr>
        <w:t>11）磋商保证金的提交凭证；</w:t>
      </w:r>
      <w:r>
        <w:rPr>
          <w:rFonts w:hint="eastAsia" w:ascii="宋体" w:hAnsi="宋体"/>
          <w:b/>
          <w:color w:val="auto"/>
        </w:rPr>
        <w:t>[必须提供，原件备查]</w:t>
      </w:r>
    </w:p>
    <w:p w14:paraId="0D2E8483">
      <w:pPr>
        <w:keepNext w:val="0"/>
        <w:keepLines w:val="0"/>
        <w:pageBreakBefore w:val="0"/>
        <w:kinsoku/>
        <w:overflowPunct/>
        <w:topLinePunct w:val="0"/>
        <w:autoSpaceDE/>
        <w:autoSpaceDN/>
        <w:bidi w:val="0"/>
        <w:adjustRightInd/>
        <w:spacing w:line="380" w:lineRule="exact"/>
        <w:ind w:firstLine="420" w:firstLineChars="200"/>
        <w:textAlignment w:val="auto"/>
        <w:rPr>
          <w:rFonts w:hint="eastAsia" w:ascii="宋体" w:hAnsi="宋体"/>
          <w:color w:val="auto"/>
          <w:szCs w:val="21"/>
        </w:rPr>
      </w:pPr>
      <w:r>
        <w:rPr>
          <w:rFonts w:hint="eastAsia" w:ascii="宋体" w:hAnsi="宋体"/>
          <w:color w:val="auto"/>
          <w:szCs w:val="21"/>
        </w:rPr>
        <w:t>12）</w:t>
      </w:r>
      <w:r>
        <w:rPr>
          <w:rFonts w:hint="eastAsia" w:ascii="宋体" w:hAnsi="Calibri" w:eastAsia="宋体" w:cs="Times New Roman"/>
          <w:color w:val="auto"/>
          <w:szCs w:val="21"/>
        </w:rPr>
        <w:t>中小企业声明函</w:t>
      </w:r>
      <w:r>
        <w:rPr>
          <w:rFonts w:hint="eastAsia" w:ascii="宋体" w:hAnsi="宋体" w:cs="Times New Roman"/>
          <w:color w:val="auto"/>
          <w:szCs w:val="21"/>
          <w:lang w:eastAsia="zh-CN"/>
        </w:rPr>
        <w:t>；</w:t>
      </w:r>
      <w:r>
        <w:rPr>
          <w:rFonts w:hint="eastAsia" w:ascii="宋体" w:hAnsi="宋体" w:eastAsia="宋体" w:cs="Times New Roman"/>
          <w:b/>
          <w:color w:val="auto"/>
          <w:szCs w:val="21"/>
        </w:rPr>
        <w:t>（按最新相关政策执行，格式见第四章，</w:t>
      </w:r>
      <w:r>
        <w:rPr>
          <w:rFonts w:hint="eastAsia" w:ascii="宋体" w:hAnsi="宋体"/>
          <w:b/>
          <w:color w:val="auto"/>
          <w:szCs w:val="21"/>
          <w:lang w:eastAsia="zh-CN"/>
        </w:rPr>
        <w:t>必须提供</w:t>
      </w:r>
      <w:r>
        <w:rPr>
          <w:rFonts w:hint="eastAsia" w:ascii="宋体" w:hAnsi="宋体" w:eastAsia="宋体" w:cs="Times New Roman"/>
          <w:b/>
          <w:color w:val="auto"/>
          <w:szCs w:val="21"/>
        </w:rPr>
        <w:t>）</w:t>
      </w:r>
    </w:p>
    <w:p w14:paraId="59C4E901">
      <w:pPr>
        <w:keepNext w:val="0"/>
        <w:keepLines w:val="0"/>
        <w:pageBreakBefore w:val="0"/>
        <w:kinsoku/>
        <w:overflowPunct/>
        <w:topLinePunct w:val="0"/>
        <w:autoSpaceDE/>
        <w:autoSpaceDN/>
        <w:bidi w:val="0"/>
        <w:adjustRightInd/>
        <w:spacing w:line="380" w:lineRule="exact"/>
        <w:ind w:firstLine="420" w:firstLineChars="200"/>
        <w:textAlignment w:val="auto"/>
        <w:rPr>
          <w:rFonts w:ascii="宋体" w:hAnsi="宋体"/>
          <w:b/>
          <w:color w:val="auto"/>
        </w:rPr>
      </w:pPr>
      <w:r>
        <w:rPr>
          <w:rFonts w:hint="eastAsia" w:ascii="宋体" w:hAnsi="宋体"/>
          <w:color w:val="auto"/>
          <w:szCs w:val="21"/>
        </w:rPr>
        <w:t>13）本采购项目《采购需求》中要求必须提交的材料；</w:t>
      </w:r>
      <w:r>
        <w:rPr>
          <w:rFonts w:hint="eastAsia" w:ascii="宋体" w:hAnsi="宋体"/>
          <w:b/>
          <w:color w:val="auto"/>
        </w:rPr>
        <w:t>[如有规定，则必须提供]</w:t>
      </w:r>
    </w:p>
    <w:p w14:paraId="35BFF9EF">
      <w:pPr>
        <w:keepNext w:val="0"/>
        <w:keepLines w:val="0"/>
        <w:pageBreakBefore w:val="0"/>
        <w:kinsoku/>
        <w:overflowPunct/>
        <w:topLinePunct w:val="0"/>
        <w:autoSpaceDE/>
        <w:autoSpaceDN/>
        <w:bidi w:val="0"/>
        <w:adjustRightInd/>
        <w:spacing w:line="380" w:lineRule="exact"/>
        <w:ind w:firstLine="420" w:firstLineChars="200"/>
        <w:textAlignment w:val="auto"/>
        <w:rPr>
          <w:rFonts w:ascii="宋体" w:hAnsi="宋体"/>
          <w:b/>
          <w:color w:val="auto"/>
        </w:rPr>
      </w:pPr>
      <w:r>
        <w:rPr>
          <w:rFonts w:hint="eastAsia" w:ascii="宋体" w:hAnsi="宋体"/>
          <w:color w:val="auto"/>
          <w:szCs w:val="21"/>
        </w:rPr>
        <w:t>14）服务方案；</w:t>
      </w:r>
      <w:r>
        <w:rPr>
          <w:rFonts w:hint="eastAsia" w:ascii="宋体" w:hAnsi="宋体"/>
          <w:b/>
          <w:color w:val="auto"/>
          <w:szCs w:val="21"/>
        </w:rPr>
        <w:t>[格式自拟</w:t>
      </w:r>
      <w:r>
        <w:rPr>
          <w:rFonts w:ascii="宋体" w:hAnsi="宋体"/>
          <w:b/>
          <w:color w:val="auto"/>
        </w:rPr>
        <w:t>]</w:t>
      </w:r>
    </w:p>
    <w:p w14:paraId="3FDFB9FE">
      <w:pPr>
        <w:keepNext w:val="0"/>
        <w:keepLines w:val="0"/>
        <w:pageBreakBefore w:val="0"/>
        <w:kinsoku/>
        <w:wordWrap w:val="0"/>
        <w:overflowPunct/>
        <w:topLinePunct w:val="0"/>
        <w:autoSpaceDE/>
        <w:autoSpaceDN/>
        <w:bidi w:val="0"/>
        <w:adjustRightInd/>
        <w:snapToGrid w:val="0"/>
        <w:spacing w:line="380" w:lineRule="exact"/>
        <w:ind w:firstLine="411" w:firstLineChars="196"/>
        <w:jc w:val="left"/>
        <w:textAlignment w:val="auto"/>
        <w:rPr>
          <w:rFonts w:ascii="宋体" w:hAnsi="宋体"/>
          <w:szCs w:val="21"/>
        </w:rPr>
      </w:pPr>
      <w:r>
        <w:rPr>
          <w:rFonts w:hint="eastAsia" w:ascii="宋体" w:hAnsi="宋体"/>
          <w:szCs w:val="21"/>
        </w:rPr>
        <w:t>15）具备法律、行政法规规定的其他条件的证明材料[如有规定，则必须提供]</w:t>
      </w:r>
      <w:r>
        <w:rPr>
          <w:rFonts w:hint="eastAsia" w:ascii="宋体" w:hAnsi="宋体"/>
          <w:b/>
          <w:szCs w:val="21"/>
        </w:rPr>
        <w:t>；</w:t>
      </w:r>
    </w:p>
    <w:p w14:paraId="09EFEE64">
      <w:pPr>
        <w:keepNext w:val="0"/>
        <w:keepLines w:val="0"/>
        <w:pageBreakBefore w:val="0"/>
        <w:kinsoku/>
        <w:overflowPunct/>
        <w:topLinePunct w:val="0"/>
        <w:autoSpaceDE/>
        <w:autoSpaceDN/>
        <w:bidi w:val="0"/>
        <w:adjustRightInd/>
        <w:spacing w:line="380" w:lineRule="exact"/>
        <w:ind w:firstLine="420" w:firstLineChars="200"/>
        <w:textAlignment w:val="auto"/>
        <w:rPr>
          <w:rFonts w:ascii="宋体" w:hAnsi="宋体"/>
          <w:szCs w:val="21"/>
        </w:rPr>
      </w:pPr>
      <w:r>
        <w:rPr>
          <w:rFonts w:hint="eastAsia" w:ascii="宋体" w:hAnsi="宋体"/>
          <w:szCs w:val="21"/>
        </w:rPr>
        <w:t>16）项目实施人员一览表；</w:t>
      </w:r>
    </w:p>
    <w:p w14:paraId="62FCBCDA">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szCs w:val="21"/>
          <w:lang w:eastAsia="zh-CN"/>
        </w:rPr>
      </w:pPr>
      <w:r>
        <w:rPr>
          <w:rFonts w:hint="eastAsia" w:ascii="宋体" w:hAnsi="宋体"/>
          <w:szCs w:val="21"/>
        </w:rPr>
        <w:t>17）供应商对本项目的合理化建议和改进措施</w:t>
      </w:r>
      <w:r>
        <w:rPr>
          <w:rFonts w:hint="eastAsia" w:ascii="宋体" w:hAnsi="宋体"/>
          <w:szCs w:val="21"/>
          <w:lang w:eastAsia="zh-CN"/>
        </w:rPr>
        <w:t>。</w:t>
      </w:r>
    </w:p>
    <w:p w14:paraId="15C0B2E9">
      <w:pPr>
        <w:keepNext w:val="0"/>
        <w:keepLines w:val="0"/>
        <w:pageBreakBefore w:val="0"/>
        <w:kinsoku/>
        <w:overflowPunct/>
        <w:topLinePunct w:val="0"/>
        <w:autoSpaceDE/>
        <w:autoSpaceDN/>
        <w:bidi w:val="0"/>
        <w:adjustRightInd/>
        <w:spacing w:line="380" w:lineRule="exact"/>
        <w:ind w:firstLine="422" w:firstLineChars="200"/>
        <w:textAlignment w:val="auto"/>
        <w:rPr>
          <w:rFonts w:ascii="宋体" w:hAnsi="宋体"/>
          <w:b/>
          <w:szCs w:val="21"/>
        </w:rPr>
      </w:pPr>
      <w:r>
        <w:rPr>
          <w:rFonts w:hint="eastAsia" w:ascii="宋体" w:hAnsi="宋体"/>
          <w:b/>
          <w:szCs w:val="21"/>
        </w:rPr>
        <w:t>三、报价要求</w:t>
      </w:r>
    </w:p>
    <w:p w14:paraId="3A356653">
      <w:pPr>
        <w:keepNext w:val="0"/>
        <w:keepLines w:val="0"/>
        <w:pageBreakBefore w:val="0"/>
        <w:kinsoku/>
        <w:overflowPunct/>
        <w:topLinePunct w:val="0"/>
        <w:autoSpaceDE/>
        <w:autoSpaceDN/>
        <w:bidi w:val="0"/>
        <w:adjustRightInd/>
        <w:spacing w:line="380" w:lineRule="exact"/>
        <w:ind w:firstLine="420" w:firstLineChars="200"/>
        <w:textAlignment w:val="auto"/>
        <w:rPr>
          <w:rFonts w:ascii="宋体" w:hAnsi="宋体"/>
          <w:szCs w:val="21"/>
        </w:rPr>
      </w:pPr>
      <w:r>
        <w:rPr>
          <w:rFonts w:hint="eastAsia" w:ascii="宋体" w:hAnsi="宋体"/>
          <w:szCs w:val="21"/>
        </w:rPr>
        <w:t>7.1对于本文件中未列明，而磋商供应商认为必需的费用也需列入总报价。在合同实施时，采购人将不予支付成交供应商没有列入的项目费用，并认为此项目的费用已包括在总报价中。</w:t>
      </w:r>
    </w:p>
    <w:p w14:paraId="28FCA135">
      <w:pPr>
        <w:keepNext w:val="0"/>
        <w:keepLines w:val="0"/>
        <w:pageBreakBefore w:val="0"/>
        <w:kinsoku/>
        <w:overflowPunct/>
        <w:topLinePunct w:val="0"/>
        <w:autoSpaceDE/>
        <w:autoSpaceDN/>
        <w:bidi w:val="0"/>
        <w:adjustRightInd/>
        <w:spacing w:line="380" w:lineRule="exact"/>
        <w:ind w:firstLine="420" w:firstLineChars="200"/>
        <w:textAlignment w:val="auto"/>
        <w:rPr>
          <w:rFonts w:ascii="宋体" w:hAnsi="宋体"/>
          <w:szCs w:val="21"/>
        </w:rPr>
      </w:pPr>
      <w:r>
        <w:rPr>
          <w:rFonts w:hint="eastAsia" w:ascii="宋体" w:hAnsi="宋体"/>
          <w:szCs w:val="21"/>
        </w:rPr>
        <w:t>7.2成交供应商负责本项目所需服务的提供、实施、售后服务等全部工作。</w:t>
      </w:r>
    </w:p>
    <w:p w14:paraId="215ACADB">
      <w:pPr>
        <w:pStyle w:val="10"/>
        <w:keepNext w:val="0"/>
        <w:keepLines w:val="0"/>
        <w:pageBreakBefore w:val="0"/>
        <w:kinsoku/>
        <w:overflowPunct/>
        <w:topLinePunct w:val="0"/>
        <w:autoSpaceDE/>
        <w:autoSpaceDN/>
        <w:bidi w:val="0"/>
        <w:adjustRightInd/>
        <w:spacing w:line="380" w:lineRule="exact"/>
        <w:ind w:firstLine="420"/>
        <w:textAlignment w:val="auto"/>
        <w:rPr>
          <w:rFonts w:hAnsi="宋体"/>
        </w:rPr>
      </w:pPr>
      <w:r>
        <w:rPr>
          <w:rFonts w:hint="eastAsia" w:hAnsi="宋体"/>
        </w:rPr>
        <w:t>7.3磋商供应商应在报价表上标明单价和总价。大写金额和小写金额不一致的，以大写金额为准；总价金额与按单价汇总金额不一致的，以单价金额计算结果为准；单价金额小数点有明显错位的，应以总价为准，并修改单价；对不同文字文本竞争性磋商响应文件的解释发生异议的，以中文文本为准。除上述原因以外，如果因磋商供应商原因引起的报价失误，并在磋商时被接受，其后果由磋商供应商自负。</w:t>
      </w:r>
    </w:p>
    <w:p w14:paraId="1D7892D7">
      <w:pPr>
        <w:keepNext w:val="0"/>
        <w:keepLines w:val="0"/>
        <w:pageBreakBefore w:val="0"/>
        <w:kinsoku/>
        <w:overflowPunct/>
        <w:topLinePunct w:val="0"/>
        <w:autoSpaceDE/>
        <w:autoSpaceDN/>
        <w:bidi w:val="0"/>
        <w:adjustRightInd/>
        <w:spacing w:line="380" w:lineRule="exact"/>
        <w:ind w:firstLine="422" w:firstLineChars="200"/>
        <w:textAlignment w:val="auto"/>
        <w:rPr>
          <w:b/>
        </w:rPr>
      </w:pPr>
      <w:r>
        <w:rPr>
          <w:rFonts w:hint="eastAsia" w:ascii="宋体" w:hAnsi="宋体" w:cs="Courier New"/>
          <w:b/>
          <w:szCs w:val="21"/>
        </w:rPr>
        <w:t>7.4</w:t>
      </w:r>
      <w:r>
        <w:rPr>
          <w:rFonts w:hint="eastAsia"/>
          <w:b/>
        </w:rPr>
        <w:t>磋商报价：供应商必须就所竞项目的全部内容作完整唯一报价，漏项报价的或有选择的或有条件的报价，其响应将视为无效。</w:t>
      </w:r>
    </w:p>
    <w:p w14:paraId="0A9F379A">
      <w:pPr>
        <w:keepNext w:val="0"/>
        <w:keepLines w:val="0"/>
        <w:pageBreakBefore w:val="0"/>
        <w:kinsoku/>
        <w:overflowPunct/>
        <w:topLinePunct w:val="0"/>
        <w:autoSpaceDE/>
        <w:autoSpaceDN/>
        <w:bidi w:val="0"/>
        <w:adjustRightInd/>
        <w:spacing w:line="380" w:lineRule="exact"/>
        <w:ind w:firstLine="420" w:firstLineChars="200"/>
        <w:textAlignment w:val="auto"/>
        <w:rPr>
          <w:rFonts w:ascii="宋体" w:hAnsi="宋体" w:cs="Courier New"/>
          <w:szCs w:val="21"/>
        </w:rPr>
      </w:pPr>
      <w:r>
        <w:rPr>
          <w:rFonts w:hint="eastAsia" w:ascii="宋体" w:hAnsi="宋体" w:cs="Courier New"/>
          <w:szCs w:val="21"/>
        </w:rPr>
        <w:t>7.5磋商供应商在报价时应考虑各方面因素、各种风险和自己的承受能力。经磋商小组审核存在严重不合理、低于其企业成本的报价，有可能影响产品质量和不能诚信履约的，其报价将不予接受。</w:t>
      </w:r>
    </w:p>
    <w:p w14:paraId="46E4A3F8">
      <w:pPr>
        <w:keepNext w:val="0"/>
        <w:keepLines w:val="0"/>
        <w:pageBreakBefore w:val="0"/>
        <w:kinsoku/>
        <w:overflowPunct/>
        <w:topLinePunct w:val="0"/>
        <w:autoSpaceDE/>
        <w:autoSpaceDN/>
        <w:bidi w:val="0"/>
        <w:adjustRightInd/>
        <w:spacing w:line="380" w:lineRule="exact"/>
        <w:ind w:firstLine="422" w:firstLineChars="200"/>
        <w:textAlignment w:val="auto"/>
        <w:rPr>
          <w:rFonts w:ascii="宋体" w:hAnsi="宋体" w:cs="Courier New"/>
          <w:b/>
          <w:szCs w:val="21"/>
        </w:rPr>
      </w:pPr>
      <w:r>
        <w:rPr>
          <w:rFonts w:hint="eastAsia" w:ascii="宋体" w:hAnsi="宋体" w:cs="Courier New"/>
          <w:b/>
          <w:szCs w:val="21"/>
        </w:rPr>
        <w:t>7.6磋商小组认为供应商的报价明显低于其他通过符合性审查供应商的报价，有可能影响服务质量或者不能诚信履约的，应当要求其在评审现场合理的时间内提供书面说明，必要时提交相关证明材料；供应商不能证明其报价合理性的，磋商小组将其作为无效竞标处理。</w:t>
      </w:r>
    </w:p>
    <w:p w14:paraId="0BF71EE0">
      <w:pPr>
        <w:keepNext w:val="0"/>
        <w:keepLines w:val="0"/>
        <w:pageBreakBefore w:val="0"/>
        <w:kinsoku/>
        <w:overflowPunct/>
        <w:topLinePunct w:val="0"/>
        <w:autoSpaceDE/>
        <w:autoSpaceDN/>
        <w:bidi w:val="0"/>
        <w:adjustRightInd/>
        <w:spacing w:line="380" w:lineRule="exact"/>
        <w:ind w:firstLine="422" w:firstLineChars="200"/>
        <w:textAlignment w:val="auto"/>
        <w:rPr>
          <w:rFonts w:ascii="宋体" w:hAnsi="宋体" w:cs="Courier New"/>
          <w:b/>
          <w:szCs w:val="21"/>
        </w:rPr>
      </w:pPr>
      <w:r>
        <w:rPr>
          <w:rFonts w:hint="eastAsia" w:ascii="宋体" w:hAnsi="宋体" w:cs="Courier New"/>
          <w:b/>
          <w:szCs w:val="21"/>
        </w:rPr>
        <w:t>四、竞争性磋商响应文件有效期</w:t>
      </w:r>
    </w:p>
    <w:p w14:paraId="0375238B">
      <w:pPr>
        <w:keepNext w:val="0"/>
        <w:keepLines w:val="0"/>
        <w:pageBreakBefore w:val="0"/>
        <w:kinsoku/>
        <w:overflowPunct/>
        <w:topLinePunct w:val="0"/>
        <w:autoSpaceDE/>
        <w:autoSpaceDN/>
        <w:bidi w:val="0"/>
        <w:adjustRightInd/>
        <w:spacing w:line="380" w:lineRule="exact"/>
        <w:ind w:firstLine="420" w:firstLineChars="200"/>
        <w:textAlignment w:val="auto"/>
        <w:rPr>
          <w:rFonts w:ascii="宋体" w:hAnsi="宋体" w:cs="Courier New"/>
          <w:szCs w:val="21"/>
        </w:rPr>
      </w:pPr>
      <w:r>
        <w:rPr>
          <w:rFonts w:hint="eastAsia" w:ascii="宋体" w:hAnsi="宋体" w:cs="Courier New"/>
          <w:szCs w:val="21"/>
        </w:rPr>
        <w:t>8.1自竞争性磋商响应文件递交截止日期后60日响应文件应保持有效。有效期不足的竞争性磋商响应文件将被拒绝。</w:t>
      </w:r>
    </w:p>
    <w:p w14:paraId="6246F641">
      <w:pPr>
        <w:keepNext w:val="0"/>
        <w:keepLines w:val="0"/>
        <w:pageBreakBefore w:val="0"/>
        <w:kinsoku/>
        <w:overflowPunct/>
        <w:topLinePunct w:val="0"/>
        <w:autoSpaceDE/>
        <w:autoSpaceDN/>
        <w:bidi w:val="0"/>
        <w:adjustRightInd/>
        <w:spacing w:line="380" w:lineRule="exact"/>
        <w:ind w:firstLine="420" w:firstLineChars="200"/>
        <w:textAlignment w:val="auto"/>
        <w:rPr>
          <w:rFonts w:ascii="宋体" w:hAnsi="宋体" w:cs="Courier New"/>
          <w:szCs w:val="21"/>
        </w:rPr>
      </w:pPr>
      <w:r>
        <w:rPr>
          <w:rFonts w:hint="eastAsia" w:ascii="宋体" w:hAnsi="宋体" w:cs="Courier New"/>
          <w:szCs w:val="21"/>
        </w:rPr>
        <w:t>8.2在特殊情况下，采购代理机构可与磋商供应商协商延长竞争性磋商响应文件的有效期。</w:t>
      </w:r>
    </w:p>
    <w:p w14:paraId="419A7002">
      <w:pPr>
        <w:keepNext w:val="0"/>
        <w:keepLines w:val="0"/>
        <w:pageBreakBefore w:val="0"/>
        <w:kinsoku/>
        <w:overflowPunct/>
        <w:topLinePunct w:val="0"/>
        <w:autoSpaceDE/>
        <w:autoSpaceDN/>
        <w:bidi w:val="0"/>
        <w:adjustRightInd/>
        <w:spacing w:line="380" w:lineRule="exact"/>
        <w:ind w:firstLine="420" w:firstLineChars="200"/>
        <w:textAlignment w:val="auto"/>
        <w:rPr>
          <w:rFonts w:ascii="宋体" w:hAnsi="宋体" w:cs="Courier New"/>
          <w:szCs w:val="21"/>
        </w:rPr>
      </w:pPr>
      <w:r>
        <w:rPr>
          <w:rFonts w:hint="eastAsia" w:ascii="宋体" w:hAnsi="宋体" w:cs="Courier New"/>
          <w:szCs w:val="21"/>
        </w:rPr>
        <w:t>8.3未成交的响应文件有效期内均应保持有效。</w:t>
      </w:r>
    </w:p>
    <w:p w14:paraId="23B947D8">
      <w:pPr>
        <w:keepNext w:val="0"/>
        <w:keepLines w:val="0"/>
        <w:pageBreakBefore w:val="0"/>
        <w:kinsoku/>
        <w:overflowPunct/>
        <w:topLinePunct w:val="0"/>
        <w:autoSpaceDE/>
        <w:autoSpaceDN/>
        <w:bidi w:val="0"/>
        <w:adjustRightInd/>
        <w:spacing w:line="380" w:lineRule="exact"/>
        <w:ind w:firstLine="420" w:firstLineChars="200"/>
        <w:textAlignment w:val="auto"/>
        <w:rPr>
          <w:rFonts w:ascii="宋体" w:hAnsi="宋体" w:cs="Courier New"/>
          <w:szCs w:val="21"/>
        </w:rPr>
      </w:pPr>
      <w:r>
        <w:rPr>
          <w:rFonts w:hint="eastAsia" w:ascii="宋体" w:hAnsi="宋体" w:cs="Courier New"/>
          <w:szCs w:val="21"/>
        </w:rPr>
        <w:t>8.4成交供应商的响应文件有效期自响应文件提交截止之日起至合同履行完毕止均应保持有效。</w:t>
      </w:r>
    </w:p>
    <w:p w14:paraId="3582025D">
      <w:pPr>
        <w:keepNext w:val="0"/>
        <w:keepLines w:val="0"/>
        <w:pageBreakBefore w:val="0"/>
        <w:kinsoku/>
        <w:overflowPunct/>
        <w:topLinePunct w:val="0"/>
        <w:autoSpaceDE/>
        <w:autoSpaceDN/>
        <w:bidi w:val="0"/>
        <w:adjustRightInd/>
        <w:spacing w:line="380" w:lineRule="exact"/>
        <w:ind w:firstLine="422" w:firstLineChars="200"/>
        <w:textAlignment w:val="auto"/>
        <w:rPr>
          <w:rFonts w:ascii="宋体" w:hAnsi="宋体" w:cs="Courier New"/>
          <w:b/>
          <w:szCs w:val="21"/>
        </w:rPr>
      </w:pPr>
      <w:r>
        <w:rPr>
          <w:rFonts w:hint="eastAsia" w:ascii="宋体" w:hAnsi="宋体" w:cs="Courier New"/>
          <w:b/>
          <w:szCs w:val="21"/>
        </w:rPr>
        <w:t>五、竞争性磋商响应文件书写及签名、盖章要求</w:t>
      </w:r>
    </w:p>
    <w:p w14:paraId="678B5F5B">
      <w:pPr>
        <w:keepNext w:val="0"/>
        <w:keepLines w:val="0"/>
        <w:pageBreakBefore w:val="0"/>
        <w:kinsoku/>
        <w:overflowPunct/>
        <w:topLinePunct w:val="0"/>
        <w:autoSpaceDE/>
        <w:autoSpaceDN/>
        <w:bidi w:val="0"/>
        <w:adjustRightInd/>
        <w:spacing w:line="380" w:lineRule="exact"/>
        <w:ind w:firstLine="420" w:firstLineChars="200"/>
        <w:textAlignment w:val="auto"/>
        <w:rPr>
          <w:rFonts w:ascii="宋体" w:hAnsi="宋体" w:cs="Courier New"/>
          <w:szCs w:val="21"/>
        </w:rPr>
      </w:pPr>
      <w:r>
        <w:rPr>
          <w:rFonts w:hint="eastAsia" w:ascii="宋体" w:hAnsi="宋体" w:cs="Courier New"/>
          <w:szCs w:val="21"/>
        </w:rPr>
        <w:t>9.1竞争性磋商响应文件正本必须用不褪色的墨水书写或打印，修改处应由法定代表人或委托代理人签名和盖公章，否则将会在评审中按无效竞争性磋商响应文件处理。</w:t>
      </w:r>
    </w:p>
    <w:p w14:paraId="0341A68D">
      <w:pPr>
        <w:keepNext w:val="0"/>
        <w:keepLines w:val="0"/>
        <w:pageBreakBefore w:val="0"/>
        <w:kinsoku/>
        <w:overflowPunct/>
        <w:topLinePunct w:val="0"/>
        <w:autoSpaceDE/>
        <w:autoSpaceDN/>
        <w:bidi w:val="0"/>
        <w:adjustRightInd/>
        <w:spacing w:line="380" w:lineRule="exact"/>
        <w:ind w:firstLine="420" w:firstLineChars="200"/>
        <w:textAlignment w:val="auto"/>
        <w:rPr>
          <w:rFonts w:ascii="宋体" w:hAnsi="宋体" w:cs="Courier New"/>
          <w:szCs w:val="21"/>
        </w:rPr>
      </w:pPr>
      <w:r>
        <w:rPr>
          <w:rFonts w:hint="eastAsia" w:ascii="宋体" w:hAnsi="宋体" w:cs="Courier New"/>
          <w:szCs w:val="21"/>
        </w:rPr>
        <w:t>9.2字迹潦草、表达不清或未按要求填写的竞争性磋商响应文件可能将被认定为无效的竞争性磋商响应文件。</w:t>
      </w:r>
    </w:p>
    <w:p w14:paraId="03FFE3CE">
      <w:pPr>
        <w:keepNext w:val="0"/>
        <w:keepLines w:val="0"/>
        <w:pageBreakBefore w:val="0"/>
        <w:kinsoku/>
        <w:overflowPunct/>
        <w:topLinePunct w:val="0"/>
        <w:autoSpaceDE/>
        <w:autoSpaceDN/>
        <w:bidi w:val="0"/>
        <w:adjustRightInd/>
        <w:spacing w:line="380" w:lineRule="exact"/>
        <w:ind w:firstLine="420" w:firstLineChars="200"/>
        <w:textAlignment w:val="auto"/>
        <w:rPr>
          <w:rFonts w:ascii="宋体" w:hAnsi="宋体" w:cs="Courier New"/>
          <w:szCs w:val="21"/>
        </w:rPr>
      </w:pPr>
      <w:r>
        <w:rPr>
          <w:rFonts w:hint="eastAsia" w:ascii="宋体" w:hAnsi="宋体" w:cs="Courier New"/>
          <w:szCs w:val="21"/>
        </w:rPr>
        <w:t>9.3竞争性磋商响应文件应由法定代表人或委托代理人在凡规定签章处逐一签名和盖公章，否则将会在评审中按无效竞争性磋商响应文件处理。</w:t>
      </w:r>
    </w:p>
    <w:p w14:paraId="32370181">
      <w:pPr>
        <w:keepNext w:val="0"/>
        <w:keepLines w:val="0"/>
        <w:pageBreakBefore w:val="0"/>
        <w:kinsoku/>
        <w:overflowPunct/>
        <w:topLinePunct w:val="0"/>
        <w:autoSpaceDE/>
        <w:autoSpaceDN/>
        <w:bidi w:val="0"/>
        <w:adjustRightInd/>
        <w:spacing w:line="380" w:lineRule="exact"/>
        <w:ind w:firstLine="422" w:firstLineChars="200"/>
        <w:textAlignment w:val="auto"/>
        <w:rPr>
          <w:rFonts w:ascii="宋体" w:hAnsi="宋体"/>
          <w:b/>
          <w:szCs w:val="21"/>
        </w:rPr>
      </w:pPr>
      <w:r>
        <w:rPr>
          <w:rFonts w:hint="eastAsia" w:ascii="宋体" w:hAnsi="宋体"/>
          <w:b/>
          <w:szCs w:val="21"/>
        </w:rPr>
        <w:t>六、竞争性磋商响应文件的份数、封装和递交</w:t>
      </w:r>
    </w:p>
    <w:p w14:paraId="15BE99DF">
      <w:pPr>
        <w:keepNext w:val="0"/>
        <w:keepLines w:val="0"/>
        <w:pageBreakBefore w:val="0"/>
        <w:kinsoku/>
        <w:overflowPunct/>
        <w:topLinePunct w:val="0"/>
        <w:autoSpaceDE/>
        <w:autoSpaceDN/>
        <w:bidi w:val="0"/>
        <w:adjustRightInd/>
        <w:spacing w:line="380" w:lineRule="exact"/>
        <w:ind w:firstLine="420" w:firstLineChars="200"/>
        <w:textAlignment w:val="auto"/>
        <w:rPr>
          <w:rFonts w:ascii="宋体" w:hAnsi="宋体"/>
          <w:szCs w:val="21"/>
        </w:rPr>
      </w:pPr>
      <w:r>
        <w:rPr>
          <w:rFonts w:hint="eastAsia" w:ascii="宋体" w:hAnsi="宋体"/>
          <w:szCs w:val="21"/>
        </w:rPr>
        <w:t>10. 竞争性磋商响应文件的份数和封装</w:t>
      </w:r>
    </w:p>
    <w:p w14:paraId="6D235FCB">
      <w:pPr>
        <w:pStyle w:val="10"/>
        <w:keepNext w:val="0"/>
        <w:keepLines w:val="0"/>
        <w:pageBreakBefore w:val="0"/>
        <w:kinsoku/>
        <w:overflowPunct/>
        <w:topLinePunct w:val="0"/>
        <w:autoSpaceDE/>
        <w:autoSpaceDN/>
        <w:bidi w:val="0"/>
        <w:adjustRightInd/>
        <w:spacing w:line="380" w:lineRule="exact"/>
        <w:ind w:firstLine="420"/>
        <w:textAlignment w:val="auto"/>
      </w:pPr>
      <w:r>
        <w:rPr>
          <w:rFonts w:hint="eastAsia"/>
        </w:rPr>
        <w:t>10.1磋商供应商应将竞争性磋商响应文件中“价格文件”和“商务技术文件”</w:t>
      </w:r>
      <w:r>
        <w:rPr>
          <w:rFonts w:hint="eastAsia" w:hAnsi="宋体" w:cs="Arial"/>
        </w:rPr>
        <w:t>装订成一本</w:t>
      </w:r>
      <w:r>
        <w:rPr>
          <w:rFonts w:hint="eastAsia"/>
        </w:rPr>
        <w:t>（两文件相隔之间用封面标识，封面写明“价格文件”、“商务技术文件”字样）。</w:t>
      </w:r>
    </w:p>
    <w:p w14:paraId="239B0185">
      <w:pPr>
        <w:pStyle w:val="10"/>
        <w:keepNext w:val="0"/>
        <w:keepLines w:val="0"/>
        <w:pageBreakBefore w:val="0"/>
        <w:kinsoku/>
        <w:overflowPunct/>
        <w:topLinePunct w:val="0"/>
        <w:autoSpaceDE/>
        <w:autoSpaceDN/>
        <w:bidi w:val="0"/>
        <w:adjustRightInd/>
        <w:spacing w:line="380" w:lineRule="exact"/>
        <w:ind w:firstLine="420"/>
        <w:textAlignment w:val="auto"/>
        <w:rPr>
          <w:rFonts w:hAnsi="宋体"/>
        </w:rPr>
      </w:pPr>
      <w:r>
        <w:rPr>
          <w:rFonts w:hint="eastAsia"/>
        </w:rPr>
        <w:t>磋商供应商将竞争性磋商响应文件按正、副本分别装订成册，在每个正、副本封面上标明“正本”或“副本”，以及采购项目名称、采购项目编号、</w:t>
      </w:r>
      <w:r>
        <w:rPr>
          <w:rFonts w:hint="eastAsia"/>
          <w:bCs/>
        </w:rPr>
        <w:t>所竞分标号（如有）</w:t>
      </w:r>
      <w:r>
        <w:rPr>
          <w:rFonts w:hint="eastAsia" w:hAnsi="宋体"/>
        </w:rPr>
        <w:t>、</w:t>
      </w:r>
      <w:r>
        <w:rPr>
          <w:rFonts w:hint="eastAsia"/>
        </w:rPr>
        <w:t>磋商供应商名称等内容。</w:t>
      </w:r>
      <w:r>
        <w:rPr>
          <w:rFonts w:hint="eastAsia" w:hAnsi="宋体"/>
        </w:rPr>
        <w:t>副本可以使用已在指定位置签字盖章的正本的复印件（封面除外），一旦正本和副本不符，以正本为准。</w:t>
      </w:r>
    </w:p>
    <w:p w14:paraId="13D5323B">
      <w:pPr>
        <w:keepNext w:val="0"/>
        <w:keepLines w:val="0"/>
        <w:pageBreakBefore w:val="0"/>
        <w:kinsoku/>
        <w:overflowPunct/>
        <w:topLinePunct w:val="0"/>
        <w:autoSpaceDE/>
        <w:autoSpaceDN/>
        <w:bidi w:val="0"/>
        <w:adjustRightInd/>
        <w:spacing w:line="380" w:lineRule="exact"/>
        <w:ind w:firstLine="420" w:firstLineChars="200"/>
        <w:textAlignment w:val="auto"/>
      </w:pPr>
      <w:r>
        <w:rPr>
          <w:rFonts w:hint="eastAsia" w:ascii="宋体" w:hAnsi="宋体"/>
          <w:szCs w:val="21"/>
        </w:rPr>
        <w:t>10.2竞争性磋商</w:t>
      </w:r>
      <w:r>
        <w:rPr>
          <w:rFonts w:hint="eastAsia"/>
        </w:rPr>
        <w:t>响应文件份数：正本一份，副本四份。供应商在递交响应文件时，同时递交响应文件电子版。</w:t>
      </w:r>
    </w:p>
    <w:p w14:paraId="0F56F1CE">
      <w:pPr>
        <w:keepNext w:val="0"/>
        <w:keepLines w:val="0"/>
        <w:pageBreakBefore w:val="0"/>
        <w:kinsoku/>
        <w:overflowPunct/>
        <w:topLinePunct w:val="0"/>
        <w:autoSpaceDE/>
        <w:autoSpaceDN/>
        <w:bidi w:val="0"/>
        <w:adjustRightInd/>
        <w:spacing w:line="380" w:lineRule="exact"/>
        <w:ind w:firstLine="420" w:firstLineChars="200"/>
        <w:textAlignment w:val="auto"/>
      </w:pPr>
      <w:r>
        <w:rPr>
          <w:rFonts w:hint="eastAsia" w:ascii="宋体" w:hAnsi="宋体"/>
          <w:szCs w:val="21"/>
        </w:rPr>
        <w:t>1）竞争性磋商</w:t>
      </w:r>
      <w:r>
        <w:rPr>
          <w:rFonts w:hint="eastAsia"/>
        </w:rPr>
        <w:t>响应文件电子版份数：1份。</w:t>
      </w:r>
    </w:p>
    <w:p w14:paraId="41384EAC">
      <w:pPr>
        <w:keepNext w:val="0"/>
        <w:keepLines w:val="0"/>
        <w:pageBreakBefore w:val="0"/>
        <w:kinsoku/>
        <w:overflowPunct/>
        <w:topLinePunct w:val="0"/>
        <w:autoSpaceDE/>
        <w:autoSpaceDN/>
        <w:bidi w:val="0"/>
        <w:adjustRightInd/>
        <w:spacing w:line="380" w:lineRule="exact"/>
        <w:ind w:firstLine="420" w:firstLineChars="200"/>
        <w:textAlignment w:val="auto"/>
      </w:pPr>
      <w:r>
        <w:rPr>
          <w:rFonts w:hint="eastAsia" w:ascii="宋体" w:hAnsi="宋体"/>
          <w:szCs w:val="21"/>
        </w:rPr>
        <w:t>2）竞争性磋商</w:t>
      </w:r>
      <w:r>
        <w:rPr>
          <w:rFonts w:hint="eastAsia"/>
        </w:rPr>
        <w:t>响应文件电子版形式：可编辑的word文档格式</w:t>
      </w:r>
      <w:r>
        <w:rPr>
          <w:rFonts w:hint="eastAsia"/>
          <w:lang w:eastAsia="zh-CN"/>
        </w:rPr>
        <w:t>、已签字盖章的扫描件PDF格式</w:t>
      </w:r>
      <w:r>
        <w:rPr>
          <w:rFonts w:hint="eastAsia"/>
        </w:rPr>
        <w:t>。</w:t>
      </w:r>
    </w:p>
    <w:p w14:paraId="0FF1AB57">
      <w:pPr>
        <w:keepNext w:val="0"/>
        <w:keepLines w:val="0"/>
        <w:pageBreakBefore w:val="0"/>
        <w:kinsoku/>
        <w:overflowPunct/>
        <w:topLinePunct w:val="0"/>
        <w:autoSpaceDE/>
        <w:autoSpaceDN/>
        <w:bidi w:val="0"/>
        <w:adjustRightInd/>
        <w:spacing w:line="380" w:lineRule="exact"/>
        <w:ind w:firstLine="420" w:firstLineChars="200"/>
        <w:textAlignment w:val="auto"/>
      </w:pPr>
      <w:r>
        <w:rPr>
          <w:rFonts w:hint="eastAsia" w:ascii="宋体" w:hAnsi="宋体"/>
          <w:szCs w:val="21"/>
        </w:rPr>
        <w:t>3）竞争性磋商</w:t>
      </w:r>
      <w:r>
        <w:rPr>
          <w:rFonts w:hint="eastAsia"/>
        </w:rPr>
        <w:t>响应文件电子版密封方式：将响应文件电子版光盘</w:t>
      </w:r>
      <w:r>
        <w:rPr>
          <w:rFonts w:hint="eastAsia" w:hAnsi="宋体"/>
        </w:rPr>
        <w:t>或U盘</w:t>
      </w:r>
      <w:r>
        <w:rPr>
          <w:rFonts w:hint="eastAsia"/>
        </w:rPr>
        <w:t>与纸质版响应文件一并装入响应文件袋中。</w:t>
      </w:r>
    </w:p>
    <w:p w14:paraId="171B1905">
      <w:pPr>
        <w:keepNext w:val="0"/>
        <w:keepLines w:val="0"/>
        <w:pageBreakBefore w:val="0"/>
        <w:kinsoku/>
        <w:overflowPunct/>
        <w:topLinePunct w:val="0"/>
        <w:autoSpaceDE/>
        <w:autoSpaceDN/>
        <w:bidi w:val="0"/>
        <w:adjustRightInd/>
        <w:spacing w:line="380" w:lineRule="exact"/>
        <w:ind w:firstLine="420" w:firstLineChars="200"/>
        <w:textAlignment w:val="auto"/>
        <w:rPr>
          <w:rFonts w:hAnsi="宋体"/>
        </w:rPr>
      </w:pPr>
      <w:r>
        <w:rPr>
          <w:rFonts w:hint="eastAsia" w:ascii="宋体" w:hAnsi="宋体"/>
          <w:szCs w:val="21"/>
        </w:rPr>
        <w:t>4）</w:t>
      </w:r>
      <w:r>
        <w:rPr>
          <w:rFonts w:hint="eastAsia" w:ascii="宋体" w:hAnsi="宋体"/>
          <w:b/>
          <w:szCs w:val="21"/>
        </w:rPr>
        <w:t>磋商供应商必须按竞争性磋商文件要求的顺序自编目录及逐页标注连续页码装订成册，且竞争性磋商响应文件装订位置必须封边，不允许使用活页夹、拉杆夹、夹条等可能导致竞争性磋商响应文件散落或脱页的装订方式，否则将可能被磋商小组视为无效响应文件。</w:t>
      </w:r>
    </w:p>
    <w:p w14:paraId="25198001">
      <w:pPr>
        <w:keepNext w:val="0"/>
        <w:keepLines w:val="0"/>
        <w:pageBreakBefore w:val="0"/>
        <w:kinsoku/>
        <w:overflowPunct/>
        <w:topLinePunct w:val="0"/>
        <w:autoSpaceDE/>
        <w:autoSpaceDN/>
        <w:bidi w:val="0"/>
        <w:adjustRightInd/>
        <w:spacing w:line="380" w:lineRule="exact"/>
        <w:ind w:firstLine="420" w:firstLineChars="200"/>
        <w:textAlignment w:val="auto"/>
        <w:rPr>
          <w:rFonts w:ascii="宋体" w:hAnsi="宋体"/>
          <w:szCs w:val="21"/>
        </w:rPr>
      </w:pPr>
      <w:r>
        <w:rPr>
          <w:rFonts w:hint="eastAsia" w:ascii="宋体" w:hAnsi="宋体"/>
          <w:szCs w:val="21"/>
        </w:rPr>
        <w:t>10.3竞标文件袋上应写明：</w:t>
      </w:r>
    </w:p>
    <w:p w14:paraId="49D45C4C">
      <w:pPr>
        <w:keepNext w:val="0"/>
        <w:keepLines w:val="0"/>
        <w:pageBreakBefore w:val="0"/>
        <w:kinsoku/>
        <w:overflowPunct/>
        <w:topLinePunct w:val="0"/>
        <w:autoSpaceDE/>
        <w:autoSpaceDN/>
        <w:bidi w:val="0"/>
        <w:adjustRightInd/>
        <w:spacing w:line="380" w:lineRule="exact"/>
        <w:ind w:firstLine="630" w:firstLineChars="300"/>
        <w:textAlignment w:val="auto"/>
        <w:rPr>
          <w:rFonts w:hint="eastAsia" w:ascii="宋体" w:hAnsi="宋体" w:eastAsia="宋体" w:cs="宋体"/>
          <w:szCs w:val="21"/>
        </w:rPr>
      </w:pPr>
      <w:r>
        <w:rPr>
          <w:rFonts w:hint="eastAsia" w:ascii="宋体" w:hAnsi="宋体" w:eastAsia="宋体" w:cs="宋体"/>
          <w:szCs w:val="21"/>
        </w:rPr>
        <w:t>1）采购代理机构：广西国力招标有限公司</w:t>
      </w:r>
    </w:p>
    <w:p w14:paraId="5844BEF7">
      <w:pPr>
        <w:keepNext w:val="0"/>
        <w:keepLines w:val="0"/>
        <w:pageBreakBefore w:val="0"/>
        <w:kinsoku/>
        <w:overflowPunct/>
        <w:topLinePunct w:val="0"/>
        <w:autoSpaceDE/>
        <w:autoSpaceDN/>
        <w:bidi w:val="0"/>
        <w:adjustRightInd/>
        <w:spacing w:line="380" w:lineRule="exact"/>
        <w:ind w:firstLine="630" w:firstLineChars="300"/>
        <w:textAlignment w:val="auto"/>
        <w:rPr>
          <w:rFonts w:hint="eastAsia" w:ascii="宋体" w:hAnsi="宋体" w:eastAsia="宋体" w:cs="宋体"/>
          <w:bCs/>
          <w:szCs w:val="21"/>
        </w:rPr>
      </w:pPr>
      <w:r>
        <w:rPr>
          <w:rFonts w:hint="eastAsia" w:ascii="宋体" w:hAnsi="宋体" w:eastAsia="宋体" w:cs="宋体"/>
          <w:szCs w:val="21"/>
        </w:rPr>
        <w:t>2）采购项目名称</w:t>
      </w:r>
      <w:r>
        <w:rPr>
          <w:rFonts w:hint="eastAsia" w:ascii="宋体" w:hAnsi="宋体" w:eastAsia="宋体" w:cs="宋体"/>
          <w:bCs/>
          <w:szCs w:val="21"/>
        </w:rPr>
        <w:t>：</w:t>
      </w:r>
    </w:p>
    <w:p w14:paraId="4C80C052">
      <w:pPr>
        <w:keepNext w:val="0"/>
        <w:keepLines w:val="0"/>
        <w:pageBreakBefore w:val="0"/>
        <w:kinsoku/>
        <w:overflowPunct/>
        <w:topLinePunct w:val="0"/>
        <w:autoSpaceDE/>
        <w:autoSpaceDN/>
        <w:bidi w:val="0"/>
        <w:adjustRightInd/>
        <w:spacing w:line="380" w:lineRule="exact"/>
        <w:ind w:firstLine="630" w:firstLineChars="300"/>
        <w:textAlignment w:val="auto"/>
        <w:rPr>
          <w:rFonts w:hint="eastAsia" w:ascii="宋体" w:hAnsi="宋体" w:eastAsia="宋体" w:cs="宋体"/>
          <w:bCs/>
          <w:szCs w:val="21"/>
        </w:rPr>
      </w:pPr>
      <w:r>
        <w:rPr>
          <w:rFonts w:hint="eastAsia" w:ascii="宋体" w:hAnsi="宋体" w:eastAsia="宋体" w:cs="宋体"/>
          <w:bCs/>
        </w:rPr>
        <w:t>3）</w:t>
      </w:r>
      <w:r>
        <w:rPr>
          <w:rFonts w:hint="eastAsia" w:ascii="宋体" w:hAnsi="宋体" w:eastAsia="宋体" w:cs="宋体"/>
          <w:szCs w:val="21"/>
        </w:rPr>
        <w:t>采购项目编号</w:t>
      </w:r>
      <w:r>
        <w:rPr>
          <w:rFonts w:hint="eastAsia" w:ascii="宋体" w:hAnsi="宋体" w:eastAsia="宋体" w:cs="宋体"/>
          <w:bCs/>
          <w:szCs w:val="21"/>
        </w:rPr>
        <w:t>：</w:t>
      </w:r>
    </w:p>
    <w:p w14:paraId="5C5D93F7">
      <w:pPr>
        <w:keepNext w:val="0"/>
        <w:keepLines w:val="0"/>
        <w:pageBreakBefore w:val="0"/>
        <w:kinsoku/>
        <w:overflowPunct/>
        <w:topLinePunct w:val="0"/>
        <w:autoSpaceDE/>
        <w:autoSpaceDN/>
        <w:bidi w:val="0"/>
        <w:adjustRightInd/>
        <w:spacing w:line="380" w:lineRule="exact"/>
        <w:ind w:firstLine="630" w:firstLineChars="300"/>
        <w:textAlignment w:val="auto"/>
        <w:rPr>
          <w:rFonts w:hint="eastAsia" w:ascii="宋体" w:hAnsi="宋体" w:eastAsia="宋体" w:cs="宋体"/>
          <w:bCs/>
        </w:rPr>
      </w:pPr>
      <w:r>
        <w:rPr>
          <w:rFonts w:hint="eastAsia" w:ascii="宋体" w:hAnsi="宋体" w:eastAsia="宋体" w:cs="宋体"/>
          <w:szCs w:val="21"/>
        </w:rPr>
        <w:t>4）</w:t>
      </w:r>
      <w:r>
        <w:rPr>
          <w:rFonts w:hint="eastAsia" w:ascii="宋体" w:hAnsi="宋体" w:eastAsia="宋体" w:cs="宋体"/>
          <w:bCs/>
        </w:rPr>
        <w:t>所竞分标号（如有）：</w:t>
      </w:r>
    </w:p>
    <w:p w14:paraId="243AE439">
      <w:pPr>
        <w:keepNext w:val="0"/>
        <w:keepLines w:val="0"/>
        <w:pageBreakBefore w:val="0"/>
        <w:kinsoku/>
        <w:overflowPunct/>
        <w:topLinePunct w:val="0"/>
        <w:autoSpaceDE/>
        <w:autoSpaceDN/>
        <w:bidi w:val="0"/>
        <w:adjustRightInd/>
        <w:spacing w:line="380" w:lineRule="exact"/>
        <w:ind w:firstLine="630" w:firstLineChars="300"/>
        <w:textAlignment w:val="auto"/>
        <w:rPr>
          <w:rFonts w:ascii="宋体" w:hAnsi="宋体"/>
          <w:bCs/>
          <w:szCs w:val="21"/>
        </w:rPr>
      </w:pPr>
      <w:r>
        <w:rPr>
          <w:rFonts w:hint="eastAsia" w:ascii="宋体" w:hAnsi="宋体" w:eastAsia="宋体" w:cs="宋体"/>
          <w:bCs/>
          <w:szCs w:val="21"/>
        </w:rPr>
        <w:t>5）</w:t>
      </w:r>
      <w:r>
        <w:rPr>
          <w:rFonts w:hint="eastAsia" w:ascii="宋体" w:hAnsi="宋体" w:eastAsia="宋体" w:cs="宋体"/>
          <w:szCs w:val="21"/>
        </w:rPr>
        <w:t>磋商</w:t>
      </w:r>
      <w:r>
        <w:rPr>
          <w:rFonts w:hint="eastAsia" w:ascii="宋体" w:hAnsi="宋体"/>
          <w:szCs w:val="21"/>
        </w:rPr>
        <w:t>供应商名称</w:t>
      </w:r>
      <w:r>
        <w:rPr>
          <w:rFonts w:hint="eastAsia" w:ascii="宋体" w:hAnsi="宋体"/>
          <w:bCs/>
          <w:szCs w:val="21"/>
        </w:rPr>
        <w:t>：</w:t>
      </w:r>
    </w:p>
    <w:p w14:paraId="65915387">
      <w:pPr>
        <w:keepNext w:val="0"/>
        <w:keepLines w:val="0"/>
        <w:pageBreakBefore w:val="0"/>
        <w:kinsoku/>
        <w:overflowPunct/>
        <w:topLinePunct w:val="0"/>
        <w:autoSpaceDE/>
        <w:autoSpaceDN/>
        <w:bidi w:val="0"/>
        <w:adjustRightInd/>
        <w:spacing w:line="380" w:lineRule="exact"/>
        <w:ind w:firstLine="630" w:firstLineChars="300"/>
        <w:textAlignment w:val="auto"/>
        <w:rPr>
          <w:rFonts w:ascii="宋体" w:hAnsi="宋体"/>
          <w:bCs/>
          <w:szCs w:val="21"/>
        </w:rPr>
      </w:pPr>
      <w:r>
        <w:rPr>
          <w:rFonts w:hint="eastAsia" w:ascii="宋体" w:hAnsi="宋体"/>
          <w:bCs/>
          <w:szCs w:val="21"/>
        </w:rPr>
        <w:t>6）（</w:t>
      </w:r>
      <w:r>
        <w:rPr>
          <w:rFonts w:hint="eastAsia"/>
        </w:rPr>
        <w:t>××年××月××日××时××分前不得拆开</w:t>
      </w:r>
      <w:r>
        <w:rPr>
          <w:rFonts w:hint="eastAsia" w:ascii="宋体" w:hAnsi="宋体"/>
          <w:bCs/>
          <w:szCs w:val="21"/>
        </w:rPr>
        <w:t>）</w:t>
      </w:r>
    </w:p>
    <w:p w14:paraId="0C68816B">
      <w:pPr>
        <w:keepNext w:val="0"/>
        <w:keepLines w:val="0"/>
        <w:pageBreakBefore w:val="0"/>
        <w:kinsoku/>
        <w:overflowPunct/>
        <w:topLinePunct w:val="0"/>
        <w:autoSpaceDE/>
        <w:autoSpaceDN/>
        <w:bidi w:val="0"/>
        <w:adjustRightInd/>
        <w:spacing w:line="380" w:lineRule="exact"/>
        <w:ind w:firstLine="420" w:firstLineChars="200"/>
        <w:textAlignment w:val="auto"/>
        <w:rPr>
          <w:rFonts w:ascii="宋体" w:hAnsi="宋体"/>
          <w:bCs/>
          <w:szCs w:val="21"/>
        </w:rPr>
      </w:pPr>
      <w:r>
        <w:rPr>
          <w:rFonts w:hint="eastAsia" w:ascii="宋体" w:hAnsi="宋体"/>
          <w:bCs/>
          <w:szCs w:val="21"/>
        </w:rPr>
        <w:t>10.4竞争性磋商响应文件的密封以竞标文件袋无明显缝隙露出袋内文件且封口处有密封签章为合格。</w:t>
      </w:r>
    </w:p>
    <w:p w14:paraId="165FC95F">
      <w:pPr>
        <w:keepNext w:val="0"/>
        <w:keepLines w:val="0"/>
        <w:pageBreakBefore w:val="0"/>
        <w:kinsoku/>
        <w:overflowPunct/>
        <w:topLinePunct w:val="0"/>
        <w:autoSpaceDE/>
        <w:autoSpaceDN/>
        <w:bidi w:val="0"/>
        <w:adjustRightInd/>
        <w:spacing w:line="380" w:lineRule="exact"/>
        <w:ind w:firstLine="420" w:firstLineChars="200"/>
        <w:textAlignment w:val="auto"/>
        <w:rPr>
          <w:rFonts w:ascii="宋体" w:hAnsi="宋体"/>
          <w:bCs/>
          <w:szCs w:val="21"/>
        </w:rPr>
      </w:pPr>
      <w:r>
        <w:rPr>
          <w:rFonts w:hint="eastAsia" w:ascii="宋体" w:hAnsi="宋体"/>
          <w:bCs/>
          <w:szCs w:val="21"/>
        </w:rPr>
        <w:t>10.5</w:t>
      </w:r>
      <w:r>
        <w:rPr>
          <w:rFonts w:hint="eastAsia" w:ascii="宋体" w:hAnsi="宋体"/>
          <w:b/>
          <w:bCs/>
          <w:szCs w:val="21"/>
        </w:rPr>
        <w:t>磋商供应商在递交竞争性磋商响应文件时应按本须知要求密封。</w:t>
      </w:r>
    </w:p>
    <w:p w14:paraId="0A7AD6B3">
      <w:pPr>
        <w:keepNext w:val="0"/>
        <w:keepLines w:val="0"/>
        <w:pageBreakBefore w:val="0"/>
        <w:kinsoku/>
        <w:overflowPunct/>
        <w:topLinePunct w:val="0"/>
        <w:autoSpaceDE/>
        <w:autoSpaceDN/>
        <w:bidi w:val="0"/>
        <w:adjustRightInd/>
        <w:spacing w:line="380" w:lineRule="exact"/>
        <w:ind w:firstLine="420" w:firstLineChars="200"/>
        <w:textAlignment w:val="auto"/>
        <w:rPr>
          <w:rFonts w:ascii="宋体" w:hAnsi="宋体"/>
          <w:szCs w:val="21"/>
        </w:rPr>
      </w:pPr>
      <w:r>
        <w:rPr>
          <w:rFonts w:hint="eastAsia" w:ascii="宋体" w:hAnsi="宋体"/>
          <w:szCs w:val="21"/>
        </w:rPr>
        <w:t>11. 竞争性磋商响应文件的递交</w:t>
      </w:r>
    </w:p>
    <w:p w14:paraId="11A18500">
      <w:pPr>
        <w:keepNext w:val="0"/>
        <w:keepLines w:val="0"/>
        <w:pageBreakBefore w:val="0"/>
        <w:kinsoku/>
        <w:overflowPunct/>
        <w:topLinePunct w:val="0"/>
        <w:autoSpaceDE/>
        <w:autoSpaceDN/>
        <w:bidi w:val="0"/>
        <w:adjustRightInd/>
        <w:spacing w:line="380" w:lineRule="exact"/>
        <w:ind w:firstLine="420" w:firstLineChars="200"/>
        <w:textAlignment w:val="auto"/>
        <w:rPr>
          <w:rFonts w:ascii="宋体" w:hAnsi="宋体"/>
          <w:szCs w:val="21"/>
        </w:rPr>
      </w:pPr>
      <w:r>
        <w:rPr>
          <w:rFonts w:hint="eastAsia" w:ascii="宋体" w:hAnsi="宋体"/>
          <w:szCs w:val="21"/>
        </w:rPr>
        <w:t>11.1竞争性磋商响应文件应于竞争性磋商文件中规定的时间前递交到指定地点位置。</w:t>
      </w:r>
    </w:p>
    <w:p w14:paraId="1132F0D3">
      <w:pPr>
        <w:keepNext w:val="0"/>
        <w:keepLines w:val="0"/>
        <w:pageBreakBefore w:val="0"/>
        <w:kinsoku/>
        <w:overflowPunct/>
        <w:topLinePunct w:val="0"/>
        <w:autoSpaceDE/>
        <w:autoSpaceDN/>
        <w:bidi w:val="0"/>
        <w:adjustRightInd/>
        <w:spacing w:line="380" w:lineRule="exact"/>
        <w:ind w:firstLine="420" w:firstLineChars="200"/>
        <w:textAlignment w:val="auto"/>
        <w:rPr>
          <w:rFonts w:ascii="宋体" w:hAnsi="宋体"/>
          <w:szCs w:val="21"/>
        </w:rPr>
      </w:pPr>
      <w:r>
        <w:rPr>
          <w:rFonts w:hint="eastAsia" w:ascii="宋体" w:hAnsi="宋体"/>
          <w:szCs w:val="21"/>
        </w:rPr>
        <w:t>11.2递交竞争性磋商响应文件的地点：见“供应商须知前附表”。</w:t>
      </w:r>
    </w:p>
    <w:p w14:paraId="42BD4F63">
      <w:pPr>
        <w:keepNext w:val="0"/>
        <w:keepLines w:val="0"/>
        <w:pageBreakBefore w:val="0"/>
        <w:kinsoku/>
        <w:overflowPunct/>
        <w:topLinePunct w:val="0"/>
        <w:autoSpaceDE/>
        <w:autoSpaceDN/>
        <w:bidi w:val="0"/>
        <w:adjustRightInd/>
        <w:spacing w:line="380" w:lineRule="exact"/>
        <w:ind w:firstLine="420" w:firstLineChars="200"/>
        <w:textAlignment w:val="auto"/>
        <w:rPr>
          <w:rFonts w:ascii="宋体" w:hAnsi="宋体"/>
          <w:szCs w:val="21"/>
        </w:rPr>
      </w:pPr>
      <w:r>
        <w:rPr>
          <w:rFonts w:hint="eastAsia" w:ascii="宋体" w:hAnsi="宋体"/>
          <w:szCs w:val="21"/>
        </w:rPr>
        <w:t>12.迟交的竞争性磋商响应文件</w:t>
      </w:r>
    </w:p>
    <w:p w14:paraId="5E7B34B6">
      <w:pPr>
        <w:keepNext w:val="0"/>
        <w:keepLines w:val="0"/>
        <w:pageBreakBefore w:val="0"/>
        <w:kinsoku/>
        <w:overflowPunct/>
        <w:topLinePunct w:val="0"/>
        <w:autoSpaceDE/>
        <w:autoSpaceDN/>
        <w:bidi w:val="0"/>
        <w:adjustRightInd/>
        <w:spacing w:line="380" w:lineRule="exact"/>
        <w:ind w:firstLine="420" w:firstLineChars="200"/>
        <w:textAlignment w:val="auto"/>
        <w:rPr>
          <w:rFonts w:ascii="宋体" w:hAnsi="宋体"/>
          <w:szCs w:val="21"/>
        </w:rPr>
      </w:pPr>
      <w:r>
        <w:rPr>
          <w:rFonts w:hint="eastAsia" w:ascii="宋体" w:hAnsi="宋体"/>
          <w:szCs w:val="21"/>
        </w:rPr>
        <w:t>按《政府采购法》的规定，逾期送达的或者未送达指定地点的竞争性磋商响应文件，采购代理机构拒绝接收。</w:t>
      </w:r>
    </w:p>
    <w:p w14:paraId="5EC5C0B9">
      <w:pPr>
        <w:keepNext w:val="0"/>
        <w:keepLines w:val="0"/>
        <w:pageBreakBefore w:val="0"/>
        <w:kinsoku/>
        <w:overflowPunct/>
        <w:topLinePunct w:val="0"/>
        <w:autoSpaceDE/>
        <w:autoSpaceDN/>
        <w:bidi w:val="0"/>
        <w:adjustRightInd/>
        <w:spacing w:line="380" w:lineRule="exact"/>
        <w:ind w:firstLine="422" w:firstLineChars="200"/>
        <w:textAlignment w:val="auto"/>
        <w:rPr>
          <w:rFonts w:ascii="宋体" w:hAnsi="宋体"/>
          <w:b/>
          <w:szCs w:val="21"/>
        </w:rPr>
      </w:pPr>
      <w:r>
        <w:rPr>
          <w:rFonts w:hint="eastAsia" w:ascii="宋体" w:hAnsi="宋体"/>
          <w:b/>
          <w:szCs w:val="21"/>
        </w:rPr>
        <w:t>七、磋商保证金</w:t>
      </w:r>
    </w:p>
    <w:p w14:paraId="1C8B3EB6">
      <w:pPr>
        <w:keepNext w:val="0"/>
        <w:keepLines w:val="0"/>
        <w:pageBreakBefore w:val="0"/>
        <w:kinsoku/>
        <w:overflowPunct/>
        <w:topLinePunct w:val="0"/>
        <w:autoSpaceDE/>
        <w:autoSpaceDN/>
        <w:bidi w:val="0"/>
        <w:adjustRightInd/>
        <w:spacing w:line="380" w:lineRule="exact"/>
        <w:ind w:firstLine="420" w:firstLineChars="200"/>
        <w:textAlignment w:val="auto"/>
        <w:rPr>
          <w:rFonts w:ascii="宋体" w:hAnsi="宋体"/>
          <w:b/>
          <w:szCs w:val="21"/>
        </w:rPr>
      </w:pPr>
      <w:r>
        <w:rPr>
          <w:rFonts w:hint="eastAsia" w:ascii="宋体" w:hAnsi="宋体"/>
          <w:szCs w:val="21"/>
        </w:rPr>
        <w:t>13.1</w:t>
      </w:r>
      <w:r>
        <w:rPr>
          <w:rFonts w:hint="eastAsia" w:hAnsi="宋体"/>
        </w:rPr>
        <w:t>保证金应用人民币，</w:t>
      </w:r>
      <w:r>
        <w:rPr>
          <w:rFonts w:hint="eastAsia" w:ascii="宋体" w:hAnsi="宋体"/>
          <w:bCs/>
          <w:szCs w:val="21"/>
        </w:rPr>
        <w:t>具体金额详见磋商供应商须知前附表。</w:t>
      </w:r>
    </w:p>
    <w:p w14:paraId="566AD34A">
      <w:pPr>
        <w:keepNext w:val="0"/>
        <w:keepLines w:val="0"/>
        <w:pageBreakBefore w:val="0"/>
        <w:kinsoku/>
        <w:overflowPunct/>
        <w:topLinePunct w:val="0"/>
        <w:autoSpaceDE/>
        <w:autoSpaceDN/>
        <w:bidi w:val="0"/>
        <w:adjustRightInd/>
        <w:spacing w:line="380" w:lineRule="exact"/>
        <w:ind w:firstLine="420" w:firstLineChars="200"/>
        <w:textAlignment w:val="auto"/>
        <w:rPr>
          <w:rFonts w:ascii="宋体" w:hAnsi="宋体"/>
          <w:b/>
          <w:szCs w:val="21"/>
        </w:rPr>
      </w:pPr>
      <w:r>
        <w:rPr>
          <w:rFonts w:hint="eastAsia" w:ascii="宋体"/>
          <w:szCs w:val="21"/>
        </w:rPr>
        <w:t>13.2</w:t>
      </w:r>
      <w:r>
        <w:rPr>
          <w:rFonts w:hint="eastAsia" w:hAnsi="宋体"/>
        </w:rPr>
        <w:t>保证金交纳方式：</w:t>
      </w:r>
      <w:r>
        <w:rPr>
          <w:rFonts w:hint="eastAsia" w:ascii="宋体" w:hAnsi="宋体"/>
          <w:szCs w:val="21"/>
        </w:rPr>
        <w:t>银行转账、支票、汇票、本票或者银行、保险机构出具的保函</w:t>
      </w:r>
      <w:r>
        <w:rPr>
          <w:rFonts w:hint="eastAsia" w:ascii="宋体" w:hAnsi="宋体" w:cs="宋体"/>
          <w:kern w:val="0"/>
          <w:szCs w:val="21"/>
        </w:rPr>
        <w:t>等非现金形式。</w:t>
      </w:r>
    </w:p>
    <w:p w14:paraId="7C25866A">
      <w:pPr>
        <w:keepNext w:val="0"/>
        <w:keepLines w:val="0"/>
        <w:pageBreakBefore w:val="0"/>
        <w:kinsoku/>
        <w:overflowPunct/>
        <w:topLinePunct w:val="0"/>
        <w:autoSpaceDE/>
        <w:autoSpaceDN/>
        <w:bidi w:val="0"/>
        <w:adjustRightInd/>
        <w:spacing w:line="380" w:lineRule="exact"/>
        <w:ind w:firstLine="420" w:firstLineChars="200"/>
        <w:textAlignment w:val="auto"/>
        <w:rPr>
          <w:rFonts w:ascii="宋体" w:hAnsi="宋体" w:cs="宋体"/>
          <w:kern w:val="0"/>
          <w:szCs w:val="21"/>
        </w:rPr>
      </w:pPr>
      <w:r>
        <w:rPr>
          <w:rFonts w:hint="eastAsia" w:ascii="宋体" w:hAnsi="宋体" w:cs="宋体"/>
          <w:kern w:val="0"/>
          <w:szCs w:val="21"/>
        </w:rPr>
        <w:t>13.3磋商供应商应按本采购项目竞争性磋商公告中明确的开户名称、开户银行、账号，于公告规定时间前将磋商保证金足额缴纳，并将</w:t>
      </w:r>
      <w:r>
        <w:rPr>
          <w:rFonts w:hint="eastAsia" w:ascii="宋体" w:hAnsi="宋体" w:cs="宋体"/>
          <w:b/>
          <w:kern w:val="0"/>
          <w:szCs w:val="21"/>
        </w:rPr>
        <w:t>交款凭据复印件或广西国力招标有限公司财务部为本项目出具的保证金交款收据复印件</w:t>
      </w:r>
      <w:r>
        <w:rPr>
          <w:rFonts w:hint="eastAsia" w:ascii="宋体" w:hAnsi="宋体" w:cs="宋体"/>
          <w:kern w:val="0"/>
          <w:szCs w:val="21"/>
        </w:rPr>
        <w:t>按要求放入竞争性磋商响应文件中（磋商供应商应自行考虑磋商保证金到我公司账户时间）。</w:t>
      </w:r>
    </w:p>
    <w:p w14:paraId="74F18D6F">
      <w:pPr>
        <w:keepNext w:val="0"/>
        <w:keepLines w:val="0"/>
        <w:pageBreakBefore w:val="0"/>
        <w:kinsoku/>
        <w:overflowPunct/>
        <w:topLinePunct w:val="0"/>
        <w:autoSpaceDE/>
        <w:autoSpaceDN/>
        <w:bidi w:val="0"/>
        <w:adjustRightInd/>
        <w:spacing w:line="380" w:lineRule="exact"/>
        <w:ind w:firstLine="420" w:firstLineChars="200"/>
        <w:textAlignment w:val="auto"/>
        <w:rPr>
          <w:rFonts w:ascii="宋体" w:hAnsi="宋体"/>
          <w:b/>
          <w:szCs w:val="21"/>
        </w:rPr>
      </w:pPr>
      <w:r>
        <w:rPr>
          <w:rFonts w:hint="eastAsia" w:ascii="宋体" w:hAnsi="宋体"/>
        </w:rPr>
        <w:t>13.4办理保证金手续时，请务必在银行相关票据（非现金）或凭证的用途或空白栏上注明采购项目名称及采购项目编号、分标号（如有），以免耽误竞争性磋商。</w:t>
      </w:r>
    </w:p>
    <w:p w14:paraId="0FB1A22C">
      <w:pPr>
        <w:keepNext w:val="0"/>
        <w:keepLines w:val="0"/>
        <w:pageBreakBefore w:val="0"/>
        <w:kinsoku/>
        <w:overflowPunct/>
        <w:topLinePunct w:val="0"/>
        <w:autoSpaceDE/>
        <w:autoSpaceDN/>
        <w:bidi w:val="0"/>
        <w:adjustRightInd/>
        <w:spacing w:line="380" w:lineRule="exact"/>
        <w:ind w:firstLine="422" w:firstLineChars="200"/>
        <w:textAlignment w:val="auto"/>
        <w:rPr>
          <w:rFonts w:hAnsi="宋体"/>
        </w:rPr>
      </w:pPr>
      <w:r>
        <w:rPr>
          <w:rFonts w:hint="eastAsia" w:ascii="宋体" w:hAnsi="宋体"/>
          <w:b/>
          <w:szCs w:val="21"/>
        </w:rPr>
        <w:t>13.5</w:t>
      </w:r>
      <w:r>
        <w:rPr>
          <w:rFonts w:hint="eastAsia" w:ascii="宋体" w:hAnsi="宋体"/>
          <w:b/>
        </w:rPr>
        <w:t>磋</w:t>
      </w:r>
      <w:r>
        <w:rPr>
          <w:rFonts w:hint="eastAsia" w:hAnsi="宋体"/>
          <w:b/>
        </w:rPr>
        <w:t>商供应商</w:t>
      </w:r>
      <w:r>
        <w:rPr>
          <w:rFonts w:hint="eastAsia" w:ascii="宋体" w:hAnsi="宋体"/>
          <w:b/>
          <w:szCs w:val="21"/>
        </w:rPr>
        <w:t>在项目开标当天将保证金交纳凭证复印件壹份交到本公司财务室以便退款。</w:t>
      </w:r>
    </w:p>
    <w:p w14:paraId="1FE12F94">
      <w:pPr>
        <w:keepNext w:val="0"/>
        <w:keepLines w:val="0"/>
        <w:pageBreakBefore w:val="0"/>
        <w:kinsoku/>
        <w:overflowPunct/>
        <w:topLinePunct w:val="0"/>
        <w:autoSpaceDE/>
        <w:autoSpaceDN/>
        <w:bidi w:val="0"/>
        <w:adjustRightInd/>
        <w:spacing w:line="380" w:lineRule="exact"/>
        <w:ind w:firstLine="420" w:firstLineChars="200"/>
        <w:textAlignment w:val="auto"/>
        <w:rPr>
          <w:rFonts w:hAnsi="宋体"/>
        </w:rPr>
      </w:pPr>
      <w:r>
        <w:rPr>
          <w:rFonts w:hint="eastAsia" w:ascii="宋体" w:hAnsi="宋体"/>
          <w:szCs w:val="21"/>
        </w:rPr>
        <w:t>13.6</w:t>
      </w:r>
      <w:r>
        <w:rPr>
          <w:rFonts w:hint="eastAsia" w:hAnsi="宋体"/>
        </w:rPr>
        <w:t>未成交磋商供应商的保证金，将在成交通知书发出后五个工作日内予以退还，不计利息。成交供应商</w:t>
      </w:r>
      <w:r>
        <w:rPr>
          <w:rFonts w:hint="eastAsia" w:ascii="宋体" w:hAnsi="宋体"/>
          <w:szCs w:val="21"/>
        </w:rPr>
        <w:t>的保证金在合同签订后五个工作日内退还（</w:t>
      </w:r>
      <w:r>
        <w:rPr>
          <w:rFonts w:hint="eastAsia" w:hAnsi="宋体"/>
        </w:rPr>
        <w:t>合同签订后送达至广西国力招标有限公司</w:t>
      </w:r>
      <w:r>
        <w:rPr>
          <w:rFonts w:hint="eastAsia" w:ascii="宋体" w:hAnsi="宋体"/>
          <w:szCs w:val="21"/>
        </w:rPr>
        <w:t>），不计利息。</w:t>
      </w:r>
    </w:p>
    <w:p w14:paraId="65BCAF71">
      <w:pPr>
        <w:keepNext w:val="0"/>
        <w:keepLines w:val="0"/>
        <w:pageBreakBefore w:val="0"/>
        <w:widowControl/>
        <w:kinsoku/>
        <w:overflowPunct/>
        <w:topLinePunct w:val="0"/>
        <w:autoSpaceDE/>
        <w:autoSpaceDN/>
        <w:bidi w:val="0"/>
        <w:adjustRightInd/>
        <w:spacing w:line="380" w:lineRule="exact"/>
        <w:ind w:firstLine="420" w:firstLineChars="200"/>
        <w:jc w:val="left"/>
        <w:textAlignment w:val="auto"/>
        <w:rPr>
          <w:rFonts w:hAnsi="宋体"/>
        </w:rPr>
      </w:pPr>
      <w:r>
        <w:rPr>
          <w:rFonts w:hint="eastAsia" w:ascii="宋体" w:hAnsi="宋体"/>
          <w:szCs w:val="21"/>
        </w:rPr>
        <w:t>13.7</w:t>
      </w:r>
      <w:r>
        <w:rPr>
          <w:rFonts w:hint="eastAsia" w:hAnsi="宋体"/>
        </w:rPr>
        <w:t>对未按本竞争性磋商文件要求交纳保证金的</w:t>
      </w:r>
      <w:r>
        <w:rPr>
          <w:rFonts w:hint="eastAsia" w:ascii="宋体" w:hAnsi="宋体"/>
          <w:szCs w:val="21"/>
        </w:rPr>
        <w:t>竞争性磋商</w:t>
      </w:r>
      <w:r>
        <w:rPr>
          <w:rFonts w:hint="eastAsia" w:ascii="宋体" w:hAnsi="宋体"/>
        </w:rPr>
        <w:t>响应文件</w:t>
      </w:r>
      <w:r>
        <w:rPr>
          <w:rFonts w:hint="eastAsia" w:hAnsi="宋体"/>
        </w:rPr>
        <w:t>，</w:t>
      </w:r>
      <w:r>
        <w:rPr>
          <w:rFonts w:hint="eastAsia" w:ascii="宋体" w:hAnsi="宋体"/>
        </w:rPr>
        <w:t>将会在评审中按照无效</w:t>
      </w:r>
      <w:r>
        <w:rPr>
          <w:rFonts w:hint="eastAsia" w:ascii="宋体" w:hAnsi="宋体"/>
          <w:szCs w:val="21"/>
        </w:rPr>
        <w:t>竞争性磋商</w:t>
      </w:r>
      <w:r>
        <w:rPr>
          <w:rFonts w:hint="eastAsia" w:ascii="宋体" w:hAnsi="宋体"/>
        </w:rPr>
        <w:t>响应文件处理</w:t>
      </w:r>
      <w:r>
        <w:rPr>
          <w:rFonts w:hint="eastAsia" w:hAnsi="宋体"/>
        </w:rPr>
        <w:t>。（说明：评审时，磋商小组将以本公司财务室编制的《项目保证金到帐信息表》作为评审参考依据）</w:t>
      </w:r>
    </w:p>
    <w:p w14:paraId="5049AD23">
      <w:pPr>
        <w:keepNext w:val="0"/>
        <w:keepLines w:val="0"/>
        <w:pageBreakBefore w:val="0"/>
        <w:kinsoku/>
        <w:overflowPunct/>
        <w:topLinePunct w:val="0"/>
        <w:autoSpaceDE/>
        <w:autoSpaceDN/>
        <w:bidi w:val="0"/>
        <w:adjustRightInd/>
        <w:snapToGrid w:val="0"/>
        <w:spacing w:line="380" w:lineRule="exact"/>
        <w:ind w:firstLine="411" w:firstLineChars="196"/>
        <w:jc w:val="left"/>
        <w:textAlignment w:val="auto"/>
        <w:rPr>
          <w:rFonts w:ascii="宋体" w:hAnsi="宋体"/>
          <w:b/>
          <w:bCs/>
          <w:szCs w:val="21"/>
        </w:rPr>
      </w:pPr>
      <w:r>
        <w:rPr>
          <w:rFonts w:hint="eastAsia" w:ascii="宋体" w:hAnsi="宋体"/>
          <w:bCs/>
          <w:szCs w:val="21"/>
        </w:rPr>
        <w:t>13.8</w:t>
      </w:r>
      <w:r>
        <w:rPr>
          <w:rFonts w:hint="eastAsia" w:ascii="宋体" w:hAnsi="宋体" w:cs="宋体"/>
          <w:kern w:val="0"/>
          <w:szCs w:val="21"/>
        </w:rPr>
        <w:t>供应商为联合体的，可以由联合体中的一方或者多方共同交纳保证金，其交纳的保证金对联合体各方均具有约束力。</w:t>
      </w:r>
    </w:p>
    <w:p w14:paraId="5A91C413">
      <w:pPr>
        <w:keepNext w:val="0"/>
        <w:keepLines w:val="0"/>
        <w:pageBreakBefore w:val="0"/>
        <w:tabs>
          <w:tab w:val="left" w:pos="975"/>
        </w:tabs>
        <w:kinsoku/>
        <w:overflowPunct/>
        <w:topLinePunct w:val="0"/>
        <w:autoSpaceDE/>
        <w:autoSpaceDN/>
        <w:bidi w:val="0"/>
        <w:adjustRightInd/>
        <w:snapToGrid w:val="0"/>
        <w:spacing w:line="380" w:lineRule="exact"/>
        <w:ind w:firstLine="413" w:firstLineChars="196"/>
        <w:jc w:val="left"/>
        <w:textAlignment w:val="auto"/>
        <w:rPr>
          <w:rFonts w:ascii="宋体" w:hAnsi="宋体"/>
          <w:b/>
          <w:bCs/>
          <w:szCs w:val="21"/>
        </w:rPr>
      </w:pPr>
      <w:r>
        <w:rPr>
          <w:rFonts w:hint="eastAsia" w:ascii="宋体" w:hAnsi="宋体"/>
          <w:b/>
          <w:bCs/>
          <w:szCs w:val="21"/>
        </w:rPr>
        <w:t>13.9磋商供应商有下列情形之一的，保证金将不予退还：</w:t>
      </w:r>
    </w:p>
    <w:p w14:paraId="19725606">
      <w:pPr>
        <w:keepNext w:val="0"/>
        <w:keepLines w:val="0"/>
        <w:pageBreakBefore w:val="0"/>
        <w:tabs>
          <w:tab w:val="left" w:pos="975"/>
        </w:tabs>
        <w:kinsoku/>
        <w:overflowPunct/>
        <w:topLinePunct w:val="0"/>
        <w:autoSpaceDE/>
        <w:autoSpaceDN/>
        <w:bidi w:val="0"/>
        <w:adjustRightInd/>
        <w:snapToGrid w:val="0"/>
        <w:spacing w:line="380" w:lineRule="exact"/>
        <w:ind w:firstLine="411" w:firstLineChars="196"/>
        <w:jc w:val="left"/>
        <w:textAlignment w:val="auto"/>
        <w:rPr>
          <w:rFonts w:ascii="宋体" w:hAnsi="宋体" w:cs="宋体"/>
          <w:kern w:val="0"/>
          <w:szCs w:val="21"/>
        </w:rPr>
      </w:pPr>
      <w:r>
        <w:rPr>
          <w:rFonts w:hint="eastAsia" w:ascii="宋体" w:hAnsi="宋体" w:cs="宋体"/>
          <w:kern w:val="0"/>
          <w:szCs w:val="21"/>
        </w:rPr>
        <w:t>1）磋商供应商在提交</w:t>
      </w:r>
      <w:r>
        <w:rPr>
          <w:rFonts w:hint="eastAsia" w:ascii="宋体" w:hAnsi="宋体"/>
          <w:szCs w:val="21"/>
        </w:rPr>
        <w:t>竞争性磋商</w:t>
      </w:r>
      <w:r>
        <w:rPr>
          <w:rFonts w:hint="eastAsia" w:ascii="宋体" w:hAnsi="宋体" w:cs="宋体"/>
          <w:kern w:val="0"/>
          <w:szCs w:val="21"/>
        </w:rPr>
        <w:t>响应文件截止时间后撤回</w:t>
      </w:r>
      <w:r>
        <w:rPr>
          <w:rFonts w:hint="eastAsia" w:ascii="宋体" w:hAnsi="宋体"/>
          <w:szCs w:val="21"/>
        </w:rPr>
        <w:t>竞争性磋商</w:t>
      </w:r>
      <w:r>
        <w:rPr>
          <w:rFonts w:hint="eastAsia" w:ascii="宋体" w:hAnsi="宋体" w:cs="宋体"/>
          <w:kern w:val="0"/>
          <w:szCs w:val="21"/>
        </w:rPr>
        <w:t>响应文件的；</w:t>
      </w:r>
    </w:p>
    <w:p w14:paraId="65F8625C">
      <w:pPr>
        <w:keepNext w:val="0"/>
        <w:keepLines w:val="0"/>
        <w:pageBreakBefore w:val="0"/>
        <w:tabs>
          <w:tab w:val="left" w:pos="975"/>
        </w:tabs>
        <w:kinsoku/>
        <w:overflowPunct/>
        <w:topLinePunct w:val="0"/>
        <w:autoSpaceDE/>
        <w:autoSpaceDN/>
        <w:bidi w:val="0"/>
        <w:adjustRightInd/>
        <w:snapToGrid w:val="0"/>
        <w:spacing w:line="380" w:lineRule="exact"/>
        <w:ind w:firstLine="411" w:firstLineChars="196"/>
        <w:jc w:val="left"/>
        <w:textAlignment w:val="auto"/>
        <w:rPr>
          <w:rFonts w:ascii="宋体" w:hAnsi="宋体" w:cs="宋体"/>
          <w:kern w:val="0"/>
          <w:szCs w:val="21"/>
        </w:rPr>
      </w:pPr>
      <w:r>
        <w:rPr>
          <w:rFonts w:hint="eastAsia" w:ascii="宋体" w:hAnsi="宋体" w:cs="宋体"/>
          <w:kern w:val="0"/>
          <w:szCs w:val="21"/>
        </w:rPr>
        <w:t>2）磋商供应商在</w:t>
      </w:r>
      <w:r>
        <w:rPr>
          <w:rFonts w:hint="eastAsia" w:ascii="宋体" w:hAnsi="宋体"/>
          <w:szCs w:val="21"/>
        </w:rPr>
        <w:t>竞争性磋商</w:t>
      </w:r>
      <w:r>
        <w:rPr>
          <w:rFonts w:hint="eastAsia" w:ascii="宋体" w:hAnsi="宋体" w:cs="宋体"/>
          <w:kern w:val="0"/>
          <w:szCs w:val="21"/>
        </w:rPr>
        <w:t>响应文件中提供虚假材料的；</w:t>
      </w:r>
    </w:p>
    <w:p w14:paraId="3744A667">
      <w:pPr>
        <w:keepNext w:val="0"/>
        <w:keepLines w:val="0"/>
        <w:pageBreakBefore w:val="0"/>
        <w:tabs>
          <w:tab w:val="left" w:pos="975"/>
        </w:tabs>
        <w:kinsoku/>
        <w:overflowPunct/>
        <w:topLinePunct w:val="0"/>
        <w:autoSpaceDE/>
        <w:autoSpaceDN/>
        <w:bidi w:val="0"/>
        <w:adjustRightInd/>
        <w:snapToGrid w:val="0"/>
        <w:spacing w:line="380" w:lineRule="exact"/>
        <w:ind w:firstLine="411" w:firstLineChars="196"/>
        <w:jc w:val="left"/>
        <w:textAlignment w:val="auto"/>
        <w:rPr>
          <w:rFonts w:ascii="宋体" w:hAnsi="宋体" w:cs="宋体"/>
          <w:kern w:val="0"/>
          <w:szCs w:val="21"/>
        </w:rPr>
      </w:pPr>
      <w:r>
        <w:rPr>
          <w:rFonts w:hint="eastAsia" w:ascii="宋体" w:hAnsi="宋体" w:cs="宋体"/>
          <w:kern w:val="0"/>
          <w:szCs w:val="21"/>
        </w:rPr>
        <w:t>3）除因不可抗力或</w:t>
      </w:r>
      <w:r>
        <w:rPr>
          <w:rFonts w:hint="eastAsia" w:ascii="宋体" w:hAnsi="宋体"/>
          <w:szCs w:val="21"/>
        </w:rPr>
        <w:t>竞争性</w:t>
      </w:r>
      <w:r>
        <w:rPr>
          <w:rFonts w:hint="eastAsia" w:ascii="宋体" w:hAnsi="宋体" w:cs="宋体"/>
          <w:kern w:val="0"/>
          <w:szCs w:val="21"/>
        </w:rPr>
        <w:t>磋商文件认可的情形以外，成交供应商不与采购人签订合同的；</w:t>
      </w:r>
    </w:p>
    <w:p w14:paraId="28E341C1">
      <w:pPr>
        <w:keepNext w:val="0"/>
        <w:keepLines w:val="0"/>
        <w:pageBreakBefore w:val="0"/>
        <w:tabs>
          <w:tab w:val="left" w:pos="975"/>
        </w:tabs>
        <w:kinsoku/>
        <w:overflowPunct/>
        <w:topLinePunct w:val="0"/>
        <w:autoSpaceDE/>
        <w:autoSpaceDN/>
        <w:bidi w:val="0"/>
        <w:adjustRightInd/>
        <w:snapToGrid w:val="0"/>
        <w:spacing w:line="380" w:lineRule="exact"/>
        <w:ind w:firstLine="411" w:firstLineChars="196"/>
        <w:jc w:val="left"/>
        <w:textAlignment w:val="auto"/>
        <w:rPr>
          <w:rFonts w:ascii="宋体" w:hAnsi="宋体" w:cs="宋体"/>
          <w:kern w:val="0"/>
          <w:szCs w:val="21"/>
        </w:rPr>
      </w:pPr>
      <w:r>
        <w:rPr>
          <w:rFonts w:hint="eastAsia" w:ascii="宋体" w:hAnsi="宋体" w:cs="宋体"/>
          <w:kern w:val="0"/>
          <w:szCs w:val="21"/>
        </w:rPr>
        <w:t>4）磋商供应商与采购人、其他供应商或者采购代理机构恶意串通的。</w:t>
      </w:r>
    </w:p>
    <w:p w14:paraId="3E266A6D">
      <w:pPr>
        <w:keepNext w:val="0"/>
        <w:keepLines w:val="0"/>
        <w:pageBreakBefore w:val="0"/>
        <w:tabs>
          <w:tab w:val="left" w:pos="975"/>
        </w:tabs>
        <w:kinsoku/>
        <w:overflowPunct/>
        <w:topLinePunct w:val="0"/>
        <w:autoSpaceDE/>
        <w:autoSpaceDN/>
        <w:bidi w:val="0"/>
        <w:adjustRightInd/>
        <w:snapToGrid w:val="0"/>
        <w:spacing w:line="380" w:lineRule="exact"/>
        <w:ind w:firstLine="411" w:firstLineChars="196"/>
        <w:jc w:val="left"/>
        <w:textAlignment w:val="auto"/>
        <w:rPr>
          <w:rFonts w:ascii="宋体" w:hAnsi="宋体" w:cs="宋体"/>
          <w:kern w:val="0"/>
          <w:szCs w:val="21"/>
        </w:rPr>
      </w:pPr>
      <w:r>
        <w:rPr>
          <w:rFonts w:hint="eastAsia" w:ascii="宋体" w:hAnsi="宋体" w:cs="宋体"/>
          <w:kern w:val="0"/>
          <w:szCs w:val="21"/>
        </w:rPr>
        <w:t>5）法律法规规定的其他情形。</w:t>
      </w:r>
    </w:p>
    <w:p w14:paraId="47ED5C7C">
      <w:pPr>
        <w:keepNext w:val="0"/>
        <w:keepLines w:val="0"/>
        <w:pageBreakBefore w:val="0"/>
        <w:tabs>
          <w:tab w:val="left" w:pos="975"/>
        </w:tabs>
        <w:kinsoku/>
        <w:overflowPunct/>
        <w:topLinePunct w:val="0"/>
        <w:autoSpaceDE/>
        <w:autoSpaceDN/>
        <w:bidi w:val="0"/>
        <w:adjustRightInd/>
        <w:snapToGrid w:val="0"/>
        <w:spacing w:line="380" w:lineRule="exact"/>
        <w:ind w:firstLine="413" w:firstLineChars="196"/>
        <w:jc w:val="left"/>
        <w:textAlignment w:val="auto"/>
        <w:rPr>
          <w:rFonts w:hAnsi="宋体"/>
          <w:b/>
        </w:rPr>
      </w:pPr>
      <w:r>
        <w:rPr>
          <w:rFonts w:hint="eastAsia" w:ascii="宋体" w:hAnsi="宋体"/>
          <w:b/>
          <w:bCs/>
          <w:szCs w:val="21"/>
        </w:rPr>
        <w:t>注：</w:t>
      </w:r>
      <w:r>
        <w:rPr>
          <w:rFonts w:hint="eastAsia" w:ascii="宋体" w:hAnsi="宋体" w:cs="宋体"/>
          <w:b/>
          <w:kern w:val="0"/>
          <w:szCs w:val="21"/>
        </w:rPr>
        <w:t>磋商供应商</w:t>
      </w:r>
      <w:r>
        <w:rPr>
          <w:rFonts w:hint="eastAsia" w:hAnsi="宋体"/>
          <w:b/>
        </w:rPr>
        <w:t>已经被推荐为第一成交候选供应商后撤回</w:t>
      </w:r>
      <w:r>
        <w:rPr>
          <w:rFonts w:hint="eastAsia" w:ascii="宋体" w:hAnsi="宋体"/>
          <w:b/>
          <w:szCs w:val="21"/>
        </w:rPr>
        <w:t>竞争性磋商</w:t>
      </w:r>
      <w:r>
        <w:rPr>
          <w:rFonts w:hint="eastAsia" w:ascii="宋体" w:hAnsi="宋体" w:cs="宋体"/>
          <w:b/>
          <w:kern w:val="0"/>
          <w:szCs w:val="21"/>
        </w:rPr>
        <w:t>响应文件</w:t>
      </w:r>
      <w:r>
        <w:rPr>
          <w:rFonts w:hint="eastAsia" w:hAnsi="宋体"/>
          <w:b/>
        </w:rPr>
        <w:t>或</w:t>
      </w:r>
      <w:r>
        <w:rPr>
          <w:rFonts w:hint="eastAsia" w:ascii="宋体" w:hAnsi="宋体" w:cs="宋体"/>
          <w:b/>
          <w:kern w:val="0"/>
          <w:szCs w:val="21"/>
        </w:rPr>
        <w:t>拒绝签订采购合同的</w:t>
      </w:r>
      <w:r>
        <w:rPr>
          <w:rFonts w:hint="eastAsia" w:hAnsi="宋体"/>
          <w:b/>
        </w:rPr>
        <w:t>，</w:t>
      </w:r>
      <w:r>
        <w:rPr>
          <w:rFonts w:hint="eastAsia"/>
          <w:b/>
        </w:rPr>
        <w:t>其保证金将不予退还，给采购人造成损失的，还应当赔偿损失，并作为不良行为记录在案</w:t>
      </w:r>
      <w:r>
        <w:rPr>
          <w:rFonts w:hint="eastAsia" w:hAnsi="宋体"/>
          <w:b/>
        </w:rPr>
        <w:t>。</w:t>
      </w:r>
    </w:p>
    <w:p w14:paraId="3EA485AE">
      <w:pPr>
        <w:keepNext w:val="0"/>
        <w:keepLines w:val="0"/>
        <w:pageBreakBefore w:val="0"/>
        <w:tabs>
          <w:tab w:val="left" w:pos="975"/>
        </w:tabs>
        <w:kinsoku/>
        <w:overflowPunct/>
        <w:topLinePunct w:val="0"/>
        <w:autoSpaceDE/>
        <w:autoSpaceDN/>
        <w:bidi w:val="0"/>
        <w:adjustRightInd/>
        <w:snapToGrid w:val="0"/>
        <w:spacing w:line="380" w:lineRule="exact"/>
        <w:ind w:firstLine="413" w:firstLineChars="196"/>
        <w:jc w:val="left"/>
        <w:textAlignment w:val="auto"/>
        <w:rPr>
          <w:b/>
        </w:rPr>
      </w:pPr>
      <w:r>
        <w:rPr>
          <w:rFonts w:hint="eastAsia" w:ascii="宋体" w:hAnsi="宋体"/>
          <w:b/>
          <w:szCs w:val="21"/>
        </w:rPr>
        <w:t>八</w:t>
      </w:r>
      <w:r>
        <w:rPr>
          <w:rFonts w:hint="eastAsia"/>
          <w:b/>
        </w:rPr>
        <w:t>、磋商程序</w:t>
      </w:r>
      <w:r>
        <w:rPr>
          <w:rFonts w:hint="eastAsia" w:ascii="宋体" w:hAnsi="宋体"/>
          <w:b/>
          <w:szCs w:val="21"/>
        </w:rPr>
        <w:t>及</w:t>
      </w:r>
      <w:r>
        <w:rPr>
          <w:rFonts w:hint="eastAsia"/>
          <w:b/>
        </w:rPr>
        <w:t>评标方法</w:t>
      </w:r>
    </w:p>
    <w:p w14:paraId="58926992">
      <w:pPr>
        <w:keepNext w:val="0"/>
        <w:keepLines w:val="0"/>
        <w:pageBreakBefore w:val="0"/>
        <w:tabs>
          <w:tab w:val="left" w:pos="975"/>
        </w:tabs>
        <w:kinsoku/>
        <w:overflowPunct/>
        <w:topLinePunct w:val="0"/>
        <w:autoSpaceDE/>
        <w:autoSpaceDN/>
        <w:bidi w:val="0"/>
        <w:adjustRightInd/>
        <w:snapToGrid w:val="0"/>
        <w:spacing w:line="380" w:lineRule="exact"/>
        <w:ind w:firstLine="413" w:firstLineChars="196"/>
        <w:jc w:val="left"/>
        <w:textAlignment w:val="auto"/>
        <w:rPr>
          <w:b/>
        </w:rPr>
      </w:pPr>
      <w:r>
        <w:rPr>
          <w:rFonts w:hint="eastAsia"/>
          <w:b/>
        </w:rPr>
        <w:t>（一）竞争性磋商响应文件无效的情形：</w:t>
      </w:r>
    </w:p>
    <w:p w14:paraId="257DA9A0">
      <w:pPr>
        <w:keepNext w:val="0"/>
        <w:keepLines w:val="0"/>
        <w:pageBreakBefore w:val="0"/>
        <w:tabs>
          <w:tab w:val="left" w:pos="975"/>
        </w:tabs>
        <w:kinsoku/>
        <w:overflowPunct/>
        <w:topLinePunct w:val="0"/>
        <w:autoSpaceDE/>
        <w:autoSpaceDN/>
        <w:bidi w:val="0"/>
        <w:adjustRightInd/>
        <w:snapToGrid w:val="0"/>
        <w:spacing w:line="380" w:lineRule="exact"/>
        <w:ind w:firstLine="413" w:firstLineChars="196"/>
        <w:jc w:val="left"/>
        <w:textAlignment w:val="auto"/>
        <w:rPr>
          <w:rFonts w:ascii="宋体" w:hAnsi="宋体"/>
          <w:b/>
        </w:rPr>
      </w:pPr>
      <w:r>
        <w:rPr>
          <w:rFonts w:hint="eastAsia"/>
          <w:b/>
        </w:rPr>
        <w:t>1.未</w:t>
      </w:r>
      <w:r>
        <w:rPr>
          <w:rFonts w:hint="eastAsia" w:ascii="宋体" w:hAnsi="宋体"/>
          <w:b/>
        </w:rPr>
        <w:t>实质性响应竞争性磋商文件的竞争性磋商响应文件按无效处理。</w:t>
      </w:r>
    </w:p>
    <w:p w14:paraId="27A4C1BE">
      <w:pPr>
        <w:keepNext w:val="0"/>
        <w:keepLines w:val="0"/>
        <w:pageBreakBefore w:val="0"/>
        <w:tabs>
          <w:tab w:val="left" w:pos="975"/>
        </w:tabs>
        <w:kinsoku/>
        <w:overflowPunct/>
        <w:topLinePunct w:val="0"/>
        <w:autoSpaceDE/>
        <w:autoSpaceDN/>
        <w:bidi w:val="0"/>
        <w:adjustRightInd/>
        <w:snapToGrid w:val="0"/>
        <w:spacing w:line="380" w:lineRule="exact"/>
        <w:ind w:firstLine="413" w:firstLineChars="196"/>
        <w:jc w:val="left"/>
        <w:textAlignment w:val="auto"/>
        <w:rPr>
          <w:rFonts w:ascii="宋体" w:hAnsi="宋体"/>
          <w:b/>
        </w:rPr>
      </w:pPr>
      <w:r>
        <w:rPr>
          <w:rFonts w:hint="eastAsia" w:ascii="宋体" w:hAnsi="宋体"/>
          <w:b/>
        </w:rPr>
        <w:t>2.有下列情形之一的视为供应商相互串通参与磋商活动，竞争性磋商响应文件将被视为无效：</w:t>
      </w:r>
    </w:p>
    <w:p w14:paraId="34CDD883">
      <w:pPr>
        <w:keepNext w:val="0"/>
        <w:keepLines w:val="0"/>
        <w:pageBreakBefore w:val="0"/>
        <w:tabs>
          <w:tab w:val="left" w:pos="975"/>
        </w:tabs>
        <w:kinsoku/>
        <w:overflowPunct/>
        <w:topLinePunct w:val="0"/>
        <w:autoSpaceDE/>
        <w:autoSpaceDN/>
        <w:bidi w:val="0"/>
        <w:adjustRightInd/>
        <w:snapToGrid w:val="0"/>
        <w:spacing w:line="380" w:lineRule="exact"/>
        <w:ind w:firstLine="413" w:firstLineChars="196"/>
        <w:jc w:val="left"/>
        <w:textAlignment w:val="auto"/>
        <w:rPr>
          <w:rFonts w:ascii="宋体" w:hAnsi="宋体"/>
          <w:b/>
        </w:rPr>
      </w:pPr>
      <w:r>
        <w:rPr>
          <w:rFonts w:hint="eastAsia" w:ascii="宋体" w:hAnsi="宋体"/>
          <w:b/>
        </w:rPr>
        <w:t>（1）不同供应商的竞争性磋商响应文件由同一单位或者个人编制；或不同供应商报名的IP地址一致的；</w:t>
      </w:r>
    </w:p>
    <w:p w14:paraId="6E70CE39">
      <w:pPr>
        <w:keepNext w:val="0"/>
        <w:keepLines w:val="0"/>
        <w:pageBreakBefore w:val="0"/>
        <w:tabs>
          <w:tab w:val="left" w:pos="975"/>
        </w:tabs>
        <w:kinsoku/>
        <w:overflowPunct/>
        <w:topLinePunct w:val="0"/>
        <w:autoSpaceDE/>
        <w:autoSpaceDN/>
        <w:bidi w:val="0"/>
        <w:adjustRightInd/>
        <w:snapToGrid w:val="0"/>
        <w:spacing w:line="380" w:lineRule="exact"/>
        <w:ind w:firstLine="413" w:firstLineChars="196"/>
        <w:jc w:val="left"/>
        <w:textAlignment w:val="auto"/>
        <w:rPr>
          <w:rFonts w:ascii="宋体" w:hAnsi="宋体"/>
          <w:b/>
        </w:rPr>
      </w:pPr>
      <w:r>
        <w:rPr>
          <w:rFonts w:hint="eastAsia" w:ascii="宋体" w:hAnsi="宋体"/>
          <w:b/>
        </w:rPr>
        <w:t>（2）不同供应商委托同一单位或者个人办理磋商活动事宜；</w:t>
      </w:r>
    </w:p>
    <w:p w14:paraId="388B1C95">
      <w:pPr>
        <w:keepNext w:val="0"/>
        <w:keepLines w:val="0"/>
        <w:pageBreakBefore w:val="0"/>
        <w:tabs>
          <w:tab w:val="left" w:pos="975"/>
        </w:tabs>
        <w:kinsoku/>
        <w:overflowPunct/>
        <w:topLinePunct w:val="0"/>
        <w:autoSpaceDE/>
        <w:autoSpaceDN/>
        <w:bidi w:val="0"/>
        <w:adjustRightInd/>
        <w:snapToGrid w:val="0"/>
        <w:spacing w:line="380" w:lineRule="exact"/>
        <w:ind w:firstLine="413" w:firstLineChars="196"/>
        <w:jc w:val="left"/>
        <w:textAlignment w:val="auto"/>
        <w:rPr>
          <w:rFonts w:ascii="宋体" w:hAnsi="宋体"/>
          <w:b/>
        </w:rPr>
      </w:pPr>
      <w:r>
        <w:rPr>
          <w:rFonts w:hint="eastAsia" w:ascii="宋体" w:hAnsi="宋体"/>
          <w:b/>
        </w:rPr>
        <w:t>（3）不同的供应商的竞争性磋商响应文件载明的项目管理员或者联系人员为同一个人；</w:t>
      </w:r>
    </w:p>
    <w:p w14:paraId="49BEE269">
      <w:pPr>
        <w:keepNext w:val="0"/>
        <w:keepLines w:val="0"/>
        <w:pageBreakBefore w:val="0"/>
        <w:tabs>
          <w:tab w:val="left" w:pos="975"/>
        </w:tabs>
        <w:kinsoku/>
        <w:overflowPunct/>
        <w:topLinePunct w:val="0"/>
        <w:autoSpaceDE/>
        <w:autoSpaceDN/>
        <w:bidi w:val="0"/>
        <w:adjustRightInd/>
        <w:snapToGrid w:val="0"/>
        <w:spacing w:line="380" w:lineRule="exact"/>
        <w:ind w:firstLine="413" w:firstLineChars="196"/>
        <w:jc w:val="left"/>
        <w:textAlignment w:val="auto"/>
        <w:rPr>
          <w:rFonts w:ascii="宋体" w:hAnsi="宋体"/>
          <w:b/>
        </w:rPr>
      </w:pPr>
      <w:r>
        <w:rPr>
          <w:rFonts w:hint="eastAsia" w:ascii="宋体" w:hAnsi="宋体"/>
          <w:b/>
        </w:rPr>
        <w:t>（4）不同供应商的竞争性磋商响应文件异常一致或磋商报价呈规律性差异；</w:t>
      </w:r>
    </w:p>
    <w:p w14:paraId="1C64CCE0">
      <w:pPr>
        <w:keepNext w:val="0"/>
        <w:keepLines w:val="0"/>
        <w:pageBreakBefore w:val="0"/>
        <w:tabs>
          <w:tab w:val="left" w:pos="975"/>
        </w:tabs>
        <w:kinsoku/>
        <w:overflowPunct/>
        <w:topLinePunct w:val="0"/>
        <w:autoSpaceDE/>
        <w:autoSpaceDN/>
        <w:bidi w:val="0"/>
        <w:adjustRightInd/>
        <w:snapToGrid w:val="0"/>
        <w:spacing w:line="380" w:lineRule="exact"/>
        <w:ind w:firstLine="413" w:firstLineChars="196"/>
        <w:jc w:val="left"/>
        <w:textAlignment w:val="auto"/>
        <w:rPr>
          <w:rFonts w:ascii="宋体" w:hAnsi="宋体"/>
          <w:b/>
        </w:rPr>
      </w:pPr>
      <w:r>
        <w:rPr>
          <w:rFonts w:hint="eastAsia" w:ascii="宋体" w:hAnsi="宋体"/>
          <w:b/>
        </w:rPr>
        <w:t>（5）不同供应商的竞争性磋商响应文件相互混装；</w:t>
      </w:r>
    </w:p>
    <w:p w14:paraId="1983290B">
      <w:pPr>
        <w:keepNext w:val="0"/>
        <w:keepLines w:val="0"/>
        <w:pageBreakBefore w:val="0"/>
        <w:tabs>
          <w:tab w:val="left" w:pos="975"/>
        </w:tabs>
        <w:kinsoku/>
        <w:overflowPunct/>
        <w:topLinePunct w:val="0"/>
        <w:autoSpaceDE/>
        <w:autoSpaceDN/>
        <w:bidi w:val="0"/>
        <w:adjustRightInd/>
        <w:snapToGrid w:val="0"/>
        <w:spacing w:line="380" w:lineRule="exact"/>
        <w:ind w:firstLine="413" w:firstLineChars="196"/>
        <w:jc w:val="left"/>
        <w:textAlignment w:val="auto"/>
        <w:rPr>
          <w:rFonts w:ascii="宋体" w:hAnsi="宋体"/>
          <w:b/>
        </w:rPr>
      </w:pPr>
      <w:r>
        <w:rPr>
          <w:rFonts w:hint="eastAsia" w:ascii="宋体" w:hAnsi="宋体"/>
          <w:b/>
        </w:rPr>
        <w:t>（6）不同供应商的保证金从同一单位或者个人账户转出。</w:t>
      </w:r>
    </w:p>
    <w:p w14:paraId="30DF3220">
      <w:pPr>
        <w:keepNext w:val="0"/>
        <w:keepLines w:val="0"/>
        <w:pageBreakBefore w:val="0"/>
        <w:tabs>
          <w:tab w:val="left" w:pos="975"/>
        </w:tabs>
        <w:kinsoku/>
        <w:overflowPunct/>
        <w:topLinePunct w:val="0"/>
        <w:autoSpaceDE/>
        <w:autoSpaceDN/>
        <w:bidi w:val="0"/>
        <w:adjustRightInd/>
        <w:snapToGrid w:val="0"/>
        <w:spacing w:line="380" w:lineRule="exact"/>
        <w:ind w:firstLine="413" w:firstLineChars="196"/>
        <w:jc w:val="left"/>
        <w:textAlignment w:val="auto"/>
        <w:rPr>
          <w:rFonts w:ascii="宋体" w:hAnsi="宋体"/>
          <w:b/>
        </w:rPr>
      </w:pPr>
      <w:r>
        <w:rPr>
          <w:rFonts w:hint="eastAsia" w:ascii="宋体" w:hAnsi="宋体"/>
          <w:b/>
        </w:rPr>
        <w:t>3.有下列情形之一的视为关联供应商参加同一合同项下采购活动，竞争性磋商响应文件将被视为无效：</w:t>
      </w:r>
    </w:p>
    <w:p w14:paraId="0D380C5C">
      <w:pPr>
        <w:keepNext w:val="0"/>
        <w:keepLines w:val="0"/>
        <w:pageBreakBefore w:val="0"/>
        <w:tabs>
          <w:tab w:val="left" w:pos="975"/>
        </w:tabs>
        <w:kinsoku/>
        <w:overflowPunct/>
        <w:topLinePunct w:val="0"/>
        <w:autoSpaceDE/>
        <w:autoSpaceDN/>
        <w:bidi w:val="0"/>
        <w:adjustRightInd/>
        <w:snapToGrid w:val="0"/>
        <w:spacing w:line="380" w:lineRule="exact"/>
        <w:ind w:firstLine="413" w:firstLineChars="196"/>
        <w:jc w:val="left"/>
        <w:textAlignment w:val="auto"/>
        <w:rPr>
          <w:rFonts w:ascii="宋体" w:hAnsi="宋体"/>
          <w:b/>
        </w:rPr>
      </w:pPr>
      <w:r>
        <w:rPr>
          <w:rFonts w:hint="eastAsia" w:ascii="宋体" w:hAnsi="宋体"/>
          <w:b/>
        </w:rPr>
        <w:t>（1）单位负责人为同一人或者存在直接控股、管理关系的不同供应商，参加同一合同项下采购活动；</w:t>
      </w:r>
    </w:p>
    <w:p w14:paraId="0CD45E79">
      <w:pPr>
        <w:keepNext w:val="0"/>
        <w:keepLines w:val="0"/>
        <w:pageBreakBefore w:val="0"/>
        <w:tabs>
          <w:tab w:val="left" w:pos="975"/>
        </w:tabs>
        <w:kinsoku/>
        <w:overflowPunct/>
        <w:topLinePunct w:val="0"/>
        <w:autoSpaceDE/>
        <w:autoSpaceDN/>
        <w:bidi w:val="0"/>
        <w:adjustRightInd/>
        <w:snapToGrid w:val="0"/>
        <w:spacing w:line="380" w:lineRule="exact"/>
        <w:ind w:firstLine="413" w:firstLineChars="196"/>
        <w:jc w:val="left"/>
        <w:textAlignment w:val="auto"/>
        <w:rPr>
          <w:rFonts w:ascii="宋体" w:hAnsi="宋体"/>
          <w:b/>
        </w:rPr>
      </w:pPr>
      <w:r>
        <w:rPr>
          <w:rFonts w:hint="eastAsia" w:ascii="宋体" w:hAnsi="宋体"/>
          <w:b/>
        </w:rPr>
        <w:t>（2）生产厂商授权给供应商后又参加同一合同项下的采购活动；生产厂商对同一品牌同一型号的货物委托多个代理商参加磋商活动。</w:t>
      </w:r>
    </w:p>
    <w:p w14:paraId="742072DB">
      <w:pPr>
        <w:keepNext w:val="0"/>
        <w:keepLines w:val="0"/>
        <w:pageBreakBefore w:val="0"/>
        <w:tabs>
          <w:tab w:val="left" w:pos="975"/>
        </w:tabs>
        <w:kinsoku/>
        <w:overflowPunct/>
        <w:topLinePunct w:val="0"/>
        <w:autoSpaceDE/>
        <w:autoSpaceDN/>
        <w:bidi w:val="0"/>
        <w:adjustRightInd/>
        <w:snapToGrid w:val="0"/>
        <w:spacing w:line="380" w:lineRule="exact"/>
        <w:ind w:firstLine="413" w:firstLineChars="196"/>
        <w:jc w:val="left"/>
        <w:textAlignment w:val="auto"/>
        <w:rPr>
          <w:rFonts w:ascii="宋体" w:hAnsi="宋体"/>
          <w:b/>
        </w:rPr>
      </w:pPr>
      <w:r>
        <w:rPr>
          <w:rFonts w:hint="eastAsia" w:ascii="宋体" w:hAnsi="宋体"/>
          <w:b/>
        </w:rPr>
        <w:t>4.被拒绝的响应文件为无效。</w:t>
      </w:r>
    </w:p>
    <w:p w14:paraId="3DDD628A">
      <w:pPr>
        <w:keepNext w:val="0"/>
        <w:keepLines w:val="0"/>
        <w:pageBreakBefore w:val="0"/>
        <w:tabs>
          <w:tab w:val="left" w:pos="975"/>
        </w:tabs>
        <w:kinsoku/>
        <w:overflowPunct/>
        <w:topLinePunct w:val="0"/>
        <w:autoSpaceDE/>
        <w:autoSpaceDN/>
        <w:bidi w:val="0"/>
        <w:adjustRightInd/>
        <w:snapToGrid w:val="0"/>
        <w:spacing w:line="380" w:lineRule="exact"/>
        <w:ind w:firstLine="413" w:firstLineChars="196"/>
        <w:jc w:val="left"/>
        <w:textAlignment w:val="auto"/>
        <w:rPr>
          <w:rFonts w:ascii="宋体" w:hAnsi="宋体" w:cs="宋体"/>
          <w:b/>
          <w:kern w:val="0"/>
          <w:szCs w:val="21"/>
        </w:rPr>
      </w:pPr>
      <w:r>
        <w:rPr>
          <w:rFonts w:ascii="宋体" w:hAnsi="宋体" w:cs="宋体"/>
          <w:b/>
          <w:kern w:val="0"/>
          <w:szCs w:val="21"/>
        </w:rPr>
        <w:t>5</w:t>
      </w:r>
      <w:r>
        <w:rPr>
          <w:rFonts w:hint="eastAsia" w:ascii="宋体" w:hAnsi="宋体" w:cs="宋体"/>
          <w:b/>
          <w:kern w:val="0"/>
          <w:szCs w:val="21"/>
        </w:rPr>
        <w:t>.磋商供应商竞争性磋商响应文件无效的，磋商小组应当告知有关供应商。</w:t>
      </w:r>
    </w:p>
    <w:p w14:paraId="6BF01B1C">
      <w:pPr>
        <w:keepNext w:val="0"/>
        <w:keepLines w:val="0"/>
        <w:pageBreakBefore w:val="0"/>
        <w:kinsoku/>
        <w:overflowPunct/>
        <w:topLinePunct w:val="0"/>
        <w:autoSpaceDE/>
        <w:autoSpaceDN/>
        <w:bidi w:val="0"/>
        <w:adjustRightInd/>
        <w:spacing w:line="380" w:lineRule="exact"/>
        <w:ind w:firstLine="420" w:firstLineChars="200"/>
        <w:textAlignment w:val="auto"/>
        <w:rPr>
          <w:rFonts w:ascii="宋体" w:hAnsi="宋体"/>
          <w:szCs w:val="21"/>
        </w:rPr>
      </w:pPr>
      <w:r>
        <w:rPr>
          <w:rFonts w:hint="eastAsia" w:ascii="宋体" w:hAnsi="宋体"/>
          <w:szCs w:val="21"/>
        </w:rPr>
        <w:t>（二）磋商</w:t>
      </w:r>
    </w:p>
    <w:p w14:paraId="4F60C24D">
      <w:pPr>
        <w:keepNext w:val="0"/>
        <w:keepLines w:val="0"/>
        <w:pageBreakBefore w:val="0"/>
        <w:kinsoku/>
        <w:overflowPunct/>
        <w:topLinePunct w:val="0"/>
        <w:autoSpaceDE/>
        <w:autoSpaceDN/>
        <w:bidi w:val="0"/>
        <w:adjustRightInd/>
        <w:spacing w:line="380" w:lineRule="exact"/>
        <w:ind w:firstLine="420" w:firstLineChars="200"/>
        <w:textAlignment w:val="auto"/>
        <w:rPr>
          <w:rFonts w:ascii="宋体" w:hAnsi="宋体"/>
          <w:szCs w:val="21"/>
        </w:rPr>
      </w:pPr>
      <w:r>
        <w:rPr>
          <w:rFonts w:hint="eastAsia" w:ascii="宋体" w:hAnsi="宋体"/>
          <w:szCs w:val="21"/>
        </w:rPr>
        <w:t>14.1第一轮磋商</w:t>
      </w:r>
    </w:p>
    <w:p w14:paraId="2AFC60D6">
      <w:pPr>
        <w:keepNext w:val="0"/>
        <w:keepLines w:val="0"/>
        <w:pageBreakBefore w:val="0"/>
        <w:widowControl/>
        <w:tabs>
          <w:tab w:val="left" w:pos="540"/>
        </w:tabs>
        <w:kinsoku/>
        <w:overflowPunct/>
        <w:topLinePunct w:val="0"/>
        <w:autoSpaceDE/>
        <w:autoSpaceDN/>
        <w:bidi w:val="0"/>
        <w:adjustRightInd/>
        <w:spacing w:line="380" w:lineRule="exact"/>
        <w:ind w:firstLine="420" w:firstLineChars="200"/>
        <w:jc w:val="left"/>
        <w:textAlignment w:val="auto"/>
        <w:rPr>
          <w:rFonts w:ascii="宋体" w:hAnsi="宋体"/>
          <w:szCs w:val="21"/>
        </w:rPr>
      </w:pPr>
      <w:r>
        <w:rPr>
          <w:rFonts w:hint="eastAsia" w:ascii="宋体" w:hAnsi="宋体"/>
          <w:szCs w:val="21"/>
        </w:rPr>
        <w:t>磋商时间及地点：详见本须知前附表第9项规定。</w:t>
      </w:r>
    </w:p>
    <w:p w14:paraId="260A6284">
      <w:pPr>
        <w:keepNext w:val="0"/>
        <w:keepLines w:val="0"/>
        <w:pageBreakBefore w:val="0"/>
        <w:widowControl/>
        <w:tabs>
          <w:tab w:val="left" w:pos="540"/>
        </w:tabs>
        <w:kinsoku/>
        <w:overflowPunct/>
        <w:topLinePunct w:val="0"/>
        <w:autoSpaceDE/>
        <w:autoSpaceDN/>
        <w:bidi w:val="0"/>
        <w:adjustRightInd/>
        <w:spacing w:line="380" w:lineRule="exact"/>
        <w:ind w:firstLine="420" w:firstLineChars="200"/>
        <w:jc w:val="left"/>
        <w:textAlignment w:val="auto"/>
        <w:rPr>
          <w:rFonts w:ascii="宋体" w:hAnsi="宋体" w:cs="宋体"/>
          <w:kern w:val="0"/>
          <w:szCs w:val="21"/>
        </w:rPr>
      </w:pPr>
      <w:r>
        <w:rPr>
          <w:rFonts w:hint="eastAsia" w:ascii="宋体" w:hAnsi="宋体"/>
          <w:szCs w:val="21"/>
        </w:rPr>
        <w:t>磋商小组对竞争性磋商响应文件进行资格性审查，依据竞争性磋商文件对已通过资格性审核的各竞争性磋商响应文件进行书面评审，审查竞争性磋商响应文件是否实质上响应了竞争性磋商文件的要求，在评审后由磋商小组组长主持，归纳各专家审核意见，形成磋商要点。磋商小组依据磋商要点，所有成员集中与单一</w:t>
      </w:r>
      <w:r>
        <w:rPr>
          <w:rFonts w:hint="eastAsia" w:ascii="宋体" w:hAnsi="宋体"/>
          <w:bCs/>
          <w:szCs w:val="21"/>
        </w:rPr>
        <w:t>供应商分别</w:t>
      </w:r>
      <w:r>
        <w:rPr>
          <w:rFonts w:hint="eastAsia" w:ascii="宋体" w:hAnsi="宋体"/>
          <w:szCs w:val="21"/>
        </w:rPr>
        <w:t>进行磋商，</w:t>
      </w:r>
      <w:r>
        <w:rPr>
          <w:rFonts w:hint="eastAsia" w:ascii="宋体" w:hAnsi="宋体" w:cs="宋体"/>
          <w:kern w:val="0"/>
          <w:szCs w:val="21"/>
        </w:rPr>
        <w:t>给予所有参加磋商的供应商平等的磋商机会。</w:t>
      </w:r>
    </w:p>
    <w:p w14:paraId="4B5FF55B">
      <w:pPr>
        <w:keepNext w:val="0"/>
        <w:keepLines w:val="0"/>
        <w:pageBreakBefore w:val="0"/>
        <w:widowControl/>
        <w:tabs>
          <w:tab w:val="left" w:pos="540"/>
        </w:tabs>
        <w:kinsoku/>
        <w:overflowPunct/>
        <w:topLinePunct w:val="0"/>
        <w:autoSpaceDE/>
        <w:autoSpaceDN/>
        <w:bidi w:val="0"/>
        <w:adjustRightInd/>
        <w:spacing w:line="380" w:lineRule="exact"/>
        <w:ind w:firstLine="420" w:firstLineChars="200"/>
        <w:jc w:val="left"/>
        <w:textAlignment w:val="auto"/>
        <w:rPr>
          <w:rFonts w:ascii="宋体" w:hAnsi="宋体"/>
          <w:szCs w:val="21"/>
        </w:rPr>
      </w:pPr>
      <w:r>
        <w:rPr>
          <w:rFonts w:hint="eastAsia" w:ascii="宋体" w:hAnsi="宋体"/>
          <w:szCs w:val="21"/>
        </w:rPr>
        <w:t>磋商评审在严格保密的情况下进行，磋商的任何一方不得透露与磋商有关的其他供应商的技术资料、价格和其他信息。本公司对磋商过程和重要磋商内容进行记录，磋商双方在记录上签字确认。</w:t>
      </w:r>
    </w:p>
    <w:p w14:paraId="4CFE107E">
      <w:pPr>
        <w:keepNext w:val="0"/>
        <w:keepLines w:val="0"/>
        <w:pageBreakBefore w:val="0"/>
        <w:widowControl/>
        <w:tabs>
          <w:tab w:val="left" w:pos="540"/>
        </w:tabs>
        <w:kinsoku/>
        <w:overflowPunct/>
        <w:topLinePunct w:val="0"/>
        <w:autoSpaceDE/>
        <w:autoSpaceDN/>
        <w:bidi w:val="0"/>
        <w:adjustRightInd/>
        <w:spacing w:line="380" w:lineRule="exact"/>
        <w:ind w:firstLine="420" w:firstLineChars="200"/>
        <w:jc w:val="left"/>
        <w:textAlignment w:val="auto"/>
        <w:rPr>
          <w:rFonts w:ascii="宋体" w:hAnsi="宋体"/>
          <w:szCs w:val="21"/>
        </w:rPr>
      </w:pPr>
      <w:r>
        <w:rPr>
          <w:rFonts w:hint="eastAsia" w:ascii="宋体" w:hAnsi="宋体"/>
          <w:szCs w:val="21"/>
        </w:rPr>
        <w:t>磋商后，供应商根据磋商小组统一整理的书面磋商记录要求做出书面承诺，并由其法定代表人(负责人)或授权代表签字或者加盖公章</w:t>
      </w:r>
      <w:r>
        <w:rPr>
          <w:rFonts w:hint="eastAsia" w:ascii="宋体" w:hAnsi="宋体" w:cs="宋体"/>
          <w:kern w:val="0"/>
          <w:szCs w:val="21"/>
        </w:rPr>
        <w:t>后按时密封递交</w:t>
      </w:r>
      <w:r>
        <w:rPr>
          <w:rFonts w:hint="eastAsia" w:ascii="宋体" w:hAnsi="宋体"/>
          <w:szCs w:val="21"/>
        </w:rPr>
        <w:t>。</w:t>
      </w:r>
    </w:p>
    <w:p w14:paraId="75B152E9">
      <w:pPr>
        <w:keepNext w:val="0"/>
        <w:keepLines w:val="0"/>
        <w:pageBreakBefore w:val="0"/>
        <w:widowControl/>
        <w:tabs>
          <w:tab w:val="left" w:pos="540"/>
        </w:tabs>
        <w:kinsoku/>
        <w:overflowPunct/>
        <w:topLinePunct w:val="0"/>
        <w:autoSpaceDE/>
        <w:autoSpaceDN/>
        <w:bidi w:val="0"/>
        <w:adjustRightInd/>
        <w:spacing w:line="380" w:lineRule="exact"/>
        <w:ind w:firstLine="420" w:firstLineChars="200"/>
        <w:jc w:val="left"/>
        <w:textAlignment w:val="auto"/>
        <w:rPr>
          <w:rFonts w:ascii="宋体" w:hAnsi="宋体"/>
          <w:szCs w:val="21"/>
        </w:rPr>
      </w:pPr>
      <w:r>
        <w:rPr>
          <w:rFonts w:hint="eastAsia" w:ascii="宋体" w:hAnsi="宋体"/>
          <w:szCs w:val="21"/>
        </w:rPr>
        <w:t>当磋商小组一致确定供应商的竞争性磋商响应文件符合竞争性磋商文件要求，无需再磋商的，磋商小组按竞争性磋商文件设定的14.4、14.6程序和</w:t>
      </w:r>
      <w:r>
        <w:rPr>
          <w:rFonts w:hint="eastAsia"/>
        </w:rPr>
        <w:t>评标</w:t>
      </w:r>
      <w:r>
        <w:rPr>
          <w:rFonts w:hint="eastAsia" w:ascii="宋体" w:hAnsi="宋体"/>
          <w:szCs w:val="21"/>
        </w:rPr>
        <w:t>方法确定成交候选供应商。第一轮磋商后竞争性磋商文件有实质性变动或仍需磋商的，磋商小组对竞争性磋商文件变动或提出磋商意见后进行第二轮磋商。</w:t>
      </w:r>
    </w:p>
    <w:p w14:paraId="5F0E4DD5">
      <w:pPr>
        <w:keepNext w:val="0"/>
        <w:keepLines w:val="0"/>
        <w:pageBreakBefore w:val="0"/>
        <w:widowControl/>
        <w:tabs>
          <w:tab w:val="left" w:pos="540"/>
        </w:tabs>
        <w:kinsoku/>
        <w:overflowPunct/>
        <w:topLinePunct w:val="0"/>
        <w:autoSpaceDE/>
        <w:autoSpaceDN/>
        <w:bidi w:val="0"/>
        <w:adjustRightInd/>
        <w:spacing w:line="380" w:lineRule="exact"/>
        <w:ind w:firstLine="420" w:firstLineChars="200"/>
        <w:jc w:val="left"/>
        <w:textAlignment w:val="auto"/>
        <w:rPr>
          <w:rFonts w:ascii="宋体" w:hAnsi="宋体"/>
          <w:szCs w:val="21"/>
        </w:rPr>
      </w:pPr>
      <w:r>
        <w:rPr>
          <w:rFonts w:hint="eastAsia" w:ascii="宋体" w:hAnsi="宋体"/>
          <w:szCs w:val="21"/>
        </w:rPr>
        <w:t>14.2竞争性磋商文件变动</w:t>
      </w:r>
    </w:p>
    <w:p w14:paraId="41C39946">
      <w:pPr>
        <w:keepNext w:val="0"/>
        <w:keepLines w:val="0"/>
        <w:pageBreakBefore w:val="0"/>
        <w:widowControl/>
        <w:tabs>
          <w:tab w:val="left" w:pos="540"/>
        </w:tabs>
        <w:kinsoku/>
        <w:overflowPunct/>
        <w:topLinePunct w:val="0"/>
        <w:autoSpaceDE/>
        <w:autoSpaceDN/>
        <w:bidi w:val="0"/>
        <w:adjustRightInd/>
        <w:spacing w:line="380" w:lineRule="exact"/>
        <w:ind w:firstLine="420" w:firstLineChars="200"/>
        <w:jc w:val="left"/>
        <w:textAlignment w:val="auto"/>
        <w:rPr>
          <w:rFonts w:ascii="宋体" w:hAnsi="宋体"/>
          <w:szCs w:val="21"/>
        </w:rPr>
      </w:pPr>
      <w:r>
        <w:rPr>
          <w:rFonts w:hint="eastAsia" w:ascii="宋体" w:hAnsi="宋体"/>
          <w:szCs w:val="21"/>
        </w:rPr>
        <w:t>（1）第一轮磋商结束后，各响应供应商退场等候，由磋商小组组长主持，根据竞争性磋商文件和磋商情况结合第一轮磋商整体情况，可以对竞争性磋商文件采购需求中已事先明确的可能实质性变动采购需求中的技术、服务要求以及合同草案条款进行统一变动，但不得变动竞争性磋商文件中的其他内容。实质性变动的内容，须经采购人代表确认。</w:t>
      </w:r>
    </w:p>
    <w:p w14:paraId="5653A3B7">
      <w:pPr>
        <w:keepNext w:val="0"/>
        <w:keepLines w:val="0"/>
        <w:pageBreakBefore w:val="0"/>
        <w:widowControl/>
        <w:tabs>
          <w:tab w:val="left" w:pos="540"/>
        </w:tabs>
        <w:kinsoku/>
        <w:overflowPunct/>
        <w:topLinePunct w:val="0"/>
        <w:autoSpaceDE/>
        <w:autoSpaceDN/>
        <w:bidi w:val="0"/>
        <w:adjustRightInd/>
        <w:spacing w:line="380" w:lineRule="exact"/>
        <w:ind w:firstLine="420" w:firstLineChars="200"/>
        <w:jc w:val="left"/>
        <w:textAlignment w:val="auto"/>
        <w:rPr>
          <w:rFonts w:ascii="宋体" w:hAnsi="宋体"/>
          <w:szCs w:val="21"/>
        </w:rPr>
      </w:pPr>
      <w:r>
        <w:rPr>
          <w:rFonts w:hint="eastAsia" w:ascii="宋体" w:hAnsi="宋体"/>
          <w:szCs w:val="21"/>
        </w:rPr>
        <w:t>对竞争性磋商文件作出的实质性变动是竞争性磋商文件的有效组成部分，磋商小组应当及时以书面形式同时通知所有参加磋商的供应商，并要求供应商做出书面响应。</w:t>
      </w:r>
    </w:p>
    <w:p w14:paraId="3B44731F">
      <w:pPr>
        <w:keepNext w:val="0"/>
        <w:keepLines w:val="0"/>
        <w:pageBreakBefore w:val="0"/>
        <w:widowControl/>
        <w:tabs>
          <w:tab w:val="left" w:pos="540"/>
        </w:tabs>
        <w:kinsoku/>
        <w:overflowPunct/>
        <w:topLinePunct w:val="0"/>
        <w:autoSpaceDE/>
        <w:autoSpaceDN/>
        <w:bidi w:val="0"/>
        <w:adjustRightInd/>
        <w:spacing w:line="380" w:lineRule="exact"/>
        <w:ind w:firstLine="420" w:firstLineChars="200"/>
        <w:jc w:val="left"/>
        <w:textAlignment w:val="auto"/>
        <w:rPr>
          <w:rFonts w:ascii="宋体" w:hAnsi="宋体"/>
          <w:szCs w:val="21"/>
        </w:rPr>
      </w:pPr>
      <w:r>
        <w:rPr>
          <w:rFonts w:hint="eastAsia" w:ascii="宋体" w:hAnsi="宋体"/>
          <w:szCs w:val="21"/>
        </w:rPr>
        <w:t>（2）供应商应当按照竞争性磋商文件的变动情况和磋商小组的要求重新提交竞争性磋商响应文件，并由其法定代表人或授权代表签字或者加盖公章</w:t>
      </w:r>
      <w:r>
        <w:rPr>
          <w:rFonts w:hint="eastAsia" w:ascii="宋体" w:hAnsi="宋体" w:cs="宋体"/>
          <w:kern w:val="0"/>
          <w:szCs w:val="21"/>
        </w:rPr>
        <w:t>后密封递交</w:t>
      </w:r>
      <w:r>
        <w:rPr>
          <w:rFonts w:hint="eastAsia" w:ascii="宋体" w:hAnsi="宋体"/>
          <w:szCs w:val="21"/>
        </w:rPr>
        <w:t>。由授权代表（委托代理人）签字的，应当附法定代表人授权书。供应商为自然人的，应当由本人签字并附身份证明。逾时不交的，视同放弃磋商。重新提交的响应文件与竞争性磋商响应文件同具法律效力。</w:t>
      </w:r>
    </w:p>
    <w:p w14:paraId="5B94B8F4">
      <w:pPr>
        <w:keepNext w:val="0"/>
        <w:keepLines w:val="0"/>
        <w:pageBreakBefore w:val="0"/>
        <w:widowControl/>
        <w:tabs>
          <w:tab w:val="left" w:pos="540"/>
        </w:tabs>
        <w:kinsoku/>
        <w:overflowPunct/>
        <w:topLinePunct w:val="0"/>
        <w:autoSpaceDE/>
        <w:autoSpaceDN/>
        <w:bidi w:val="0"/>
        <w:adjustRightInd/>
        <w:spacing w:line="380" w:lineRule="exact"/>
        <w:ind w:firstLine="420" w:firstLineChars="200"/>
        <w:jc w:val="left"/>
        <w:textAlignment w:val="auto"/>
        <w:rPr>
          <w:rFonts w:ascii="宋体" w:hAnsi="宋体"/>
          <w:szCs w:val="21"/>
        </w:rPr>
      </w:pPr>
      <w:r>
        <w:rPr>
          <w:rFonts w:hint="eastAsia" w:ascii="宋体" w:hAnsi="宋体" w:cs="宋体"/>
          <w:kern w:val="0"/>
          <w:szCs w:val="21"/>
        </w:rPr>
        <w:t>14.3第二轮磋商</w:t>
      </w:r>
    </w:p>
    <w:p w14:paraId="17C12CD7">
      <w:pPr>
        <w:keepNext w:val="0"/>
        <w:keepLines w:val="0"/>
        <w:pageBreakBefore w:val="0"/>
        <w:widowControl/>
        <w:tabs>
          <w:tab w:val="left" w:pos="540"/>
        </w:tabs>
        <w:kinsoku/>
        <w:overflowPunct/>
        <w:topLinePunct w:val="0"/>
        <w:autoSpaceDE/>
        <w:autoSpaceDN/>
        <w:bidi w:val="0"/>
        <w:adjustRightInd/>
        <w:spacing w:line="380" w:lineRule="exact"/>
        <w:ind w:firstLine="420" w:firstLineChars="200"/>
        <w:jc w:val="left"/>
        <w:textAlignment w:val="auto"/>
        <w:rPr>
          <w:rFonts w:ascii="宋体" w:hAnsi="宋体"/>
          <w:szCs w:val="21"/>
        </w:rPr>
      </w:pPr>
      <w:r>
        <w:rPr>
          <w:rFonts w:hint="eastAsia" w:ascii="宋体" w:hAnsi="宋体" w:cs="宋体"/>
          <w:kern w:val="0"/>
          <w:szCs w:val="21"/>
        </w:rPr>
        <w:t>磋商小组集中就</w:t>
      </w:r>
      <w:r>
        <w:rPr>
          <w:rFonts w:hint="eastAsia" w:ascii="宋体" w:hAnsi="宋体"/>
          <w:szCs w:val="21"/>
        </w:rPr>
        <w:t>重新提交的响应文件或</w:t>
      </w:r>
      <w:r>
        <w:rPr>
          <w:rFonts w:hint="eastAsia" w:ascii="宋体" w:hAnsi="宋体" w:cs="宋体"/>
          <w:kern w:val="0"/>
          <w:szCs w:val="21"/>
        </w:rPr>
        <w:t>磋商小组</w:t>
      </w:r>
      <w:r>
        <w:rPr>
          <w:rFonts w:hint="eastAsia" w:ascii="宋体" w:hAnsi="宋体"/>
          <w:szCs w:val="21"/>
        </w:rPr>
        <w:t>提出的磋商意见</w:t>
      </w:r>
      <w:r>
        <w:rPr>
          <w:rFonts w:hint="eastAsia" w:ascii="宋体" w:hAnsi="宋体" w:cs="宋体"/>
          <w:kern w:val="0"/>
          <w:szCs w:val="21"/>
        </w:rPr>
        <w:t>与单一响应供应商分别进行磋商。</w:t>
      </w:r>
      <w:r>
        <w:rPr>
          <w:rFonts w:hint="eastAsia" w:ascii="宋体" w:hAnsi="宋体"/>
          <w:szCs w:val="21"/>
        </w:rPr>
        <w:t>本公司对磋商过程和重要磋商内容进行记录，磋商双方在记录上签字确认。</w:t>
      </w:r>
    </w:p>
    <w:p w14:paraId="7470A5D7">
      <w:pPr>
        <w:keepNext w:val="0"/>
        <w:keepLines w:val="0"/>
        <w:pageBreakBefore w:val="0"/>
        <w:widowControl/>
        <w:tabs>
          <w:tab w:val="left" w:pos="540"/>
        </w:tabs>
        <w:kinsoku/>
        <w:overflowPunct/>
        <w:topLinePunct w:val="0"/>
        <w:autoSpaceDE/>
        <w:autoSpaceDN/>
        <w:bidi w:val="0"/>
        <w:adjustRightInd/>
        <w:spacing w:line="380" w:lineRule="exact"/>
        <w:ind w:firstLine="420" w:firstLineChars="200"/>
        <w:jc w:val="left"/>
        <w:textAlignment w:val="auto"/>
        <w:rPr>
          <w:rFonts w:ascii="宋体" w:hAnsi="宋体"/>
          <w:szCs w:val="21"/>
        </w:rPr>
      </w:pPr>
      <w:r>
        <w:rPr>
          <w:rFonts w:hint="eastAsia" w:ascii="宋体" w:hAnsi="宋体"/>
          <w:szCs w:val="21"/>
        </w:rPr>
        <w:t>磋商后，供应商根据磋商小组统一整理的书面磋商记录要求做出书面承诺，并由其法定代表人或授权代表签字或者加盖公章</w:t>
      </w:r>
      <w:r>
        <w:rPr>
          <w:rFonts w:hint="eastAsia" w:ascii="宋体" w:hAnsi="宋体" w:cs="宋体"/>
          <w:kern w:val="0"/>
          <w:szCs w:val="21"/>
        </w:rPr>
        <w:t>后按时密封递交</w:t>
      </w:r>
      <w:r>
        <w:rPr>
          <w:rFonts w:hint="eastAsia" w:ascii="宋体" w:hAnsi="宋体"/>
          <w:szCs w:val="21"/>
        </w:rPr>
        <w:t>。</w:t>
      </w:r>
    </w:p>
    <w:p w14:paraId="48E95717">
      <w:pPr>
        <w:keepNext w:val="0"/>
        <w:keepLines w:val="0"/>
        <w:pageBreakBefore w:val="0"/>
        <w:widowControl/>
        <w:tabs>
          <w:tab w:val="left" w:pos="540"/>
        </w:tabs>
        <w:kinsoku/>
        <w:overflowPunct/>
        <w:topLinePunct w:val="0"/>
        <w:autoSpaceDE/>
        <w:autoSpaceDN/>
        <w:bidi w:val="0"/>
        <w:adjustRightInd/>
        <w:spacing w:line="380" w:lineRule="exact"/>
        <w:ind w:firstLine="420" w:firstLineChars="200"/>
        <w:jc w:val="left"/>
        <w:textAlignment w:val="auto"/>
        <w:rPr>
          <w:rFonts w:ascii="宋体" w:hAnsi="宋体"/>
          <w:szCs w:val="21"/>
        </w:rPr>
      </w:pPr>
      <w:r>
        <w:rPr>
          <w:rFonts w:hint="eastAsia" w:ascii="宋体" w:hAnsi="宋体"/>
          <w:szCs w:val="21"/>
        </w:rPr>
        <w:t>当磋商小组一致确定供应商的竞争性磋商响应文件符合竞争性磋商文件要求，无需再磋商的，磋商小组按竞争性磋商文件设定的14.4、14.6程序和</w:t>
      </w:r>
      <w:r>
        <w:rPr>
          <w:rFonts w:hint="eastAsia"/>
        </w:rPr>
        <w:t>评标</w:t>
      </w:r>
      <w:r>
        <w:rPr>
          <w:rFonts w:hint="eastAsia" w:ascii="宋体" w:hAnsi="宋体"/>
          <w:szCs w:val="21"/>
        </w:rPr>
        <w:t>方法确定成交候选供应商。第二轮磋商后竞争性磋商文件仍有实质性变动的或仍需磋商的，磋商小组对竞争性磋商文件变动或提出磋商意见后进行第三轮磋商。以此类推。</w:t>
      </w:r>
    </w:p>
    <w:p w14:paraId="6761E0A2">
      <w:pPr>
        <w:keepNext w:val="0"/>
        <w:keepLines w:val="0"/>
        <w:pageBreakBefore w:val="0"/>
        <w:widowControl/>
        <w:tabs>
          <w:tab w:val="left" w:pos="540"/>
        </w:tabs>
        <w:kinsoku/>
        <w:overflowPunct/>
        <w:topLinePunct w:val="0"/>
        <w:autoSpaceDE/>
        <w:autoSpaceDN/>
        <w:bidi w:val="0"/>
        <w:adjustRightInd/>
        <w:spacing w:line="380" w:lineRule="exact"/>
        <w:ind w:firstLine="420" w:firstLineChars="200"/>
        <w:jc w:val="left"/>
        <w:textAlignment w:val="auto"/>
        <w:rPr>
          <w:rFonts w:ascii="宋体" w:hAnsi="宋体"/>
          <w:szCs w:val="21"/>
        </w:rPr>
      </w:pPr>
      <w:r>
        <w:rPr>
          <w:rFonts w:hint="eastAsia" w:ascii="宋体" w:hAnsi="宋体"/>
          <w:szCs w:val="21"/>
        </w:rPr>
        <w:t>14.4最后报价</w:t>
      </w:r>
    </w:p>
    <w:p w14:paraId="66E0991A">
      <w:pPr>
        <w:keepNext w:val="0"/>
        <w:keepLines w:val="0"/>
        <w:pageBreakBefore w:val="0"/>
        <w:widowControl/>
        <w:tabs>
          <w:tab w:val="left" w:pos="540"/>
        </w:tabs>
        <w:kinsoku/>
        <w:overflowPunct/>
        <w:topLinePunct w:val="0"/>
        <w:autoSpaceDE/>
        <w:autoSpaceDN/>
        <w:bidi w:val="0"/>
        <w:adjustRightInd/>
        <w:spacing w:line="380" w:lineRule="exact"/>
        <w:ind w:firstLine="420" w:firstLineChars="200"/>
        <w:jc w:val="left"/>
        <w:textAlignment w:val="auto"/>
        <w:rPr>
          <w:rFonts w:ascii="宋体" w:hAnsi="宋体"/>
          <w:szCs w:val="21"/>
        </w:rPr>
      </w:pPr>
      <w:r>
        <w:rPr>
          <w:rFonts w:hint="eastAsia" w:ascii="宋体" w:hAnsi="宋体" w:cs="宋体"/>
          <w:kern w:val="0"/>
          <w:szCs w:val="21"/>
        </w:rPr>
        <w:t>磋商结束后，磋商小组要求所有继续参加磋商的供应商在规定时间内提交最后报价。继续参加磋商的供应商</w:t>
      </w:r>
      <w:r>
        <w:rPr>
          <w:rFonts w:hint="eastAsia" w:ascii="宋体" w:hAnsi="宋体"/>
          <w:szCs w:val="21"/>
        </w:rPr>
        <w:t>作最后报价，由其法定代表人或授权代表签字或者加盖公章</w:t>
      </w:r>
      <w:r>
        <w:rPr>
          <w:rFonts w:hint="eastAsia" w:ascii="宋体" w:hAnsi="宋体" w:cs="宋体"/>
          <w:kern w:val="0"/>
          <w:szCs w:val="21"/>
        </w:rPr>
        <w:t>后密封递交</w:t>
      </w:r>
      <w:r>
        <w:rPr>
          <w:rFonts w:hint="eastAsia" w:ascii="宋体" w:hAnsi="宋体"/>
          <w:szCs w:val="21"/>
        </w:rPr>
        <w:t>磋商小组，磋商小组应当从质量和服务均能满足磋商文件实质性响应要求的供应商中，按照评标标准的得分由高到低的顺序提出3名以上成交候选供应商</w:t>
      </w:r>
      <w:r>
        <w:rPr>
          <w:rFonts w:hint="eastAsia"/>
          <w:bCs/>
        </w:rPr>
        <w:t>（得分相同时，以磋商报价</w:t>
      </w:r>
      <w:r>
        <w:rPr>
          <w:rFonts w:hint="eastAsia"/>
          <w:b/>
          <w:bCs/>
        </w:rPr>
        <w:t>由低到高</w:t>
      </w:r>
      <w:r>
        <w:rPr>
          <w:rFonts w:hint="eastAsia"/>
          <w:bCs/>
        </w:rPr>
        <w:t>顺序排列；得分相同且报价相同的，按技术分得分高低顺序排列）</w:t>
      </w:r>
      <w:r>
        <w:rPr>
          <w:rFonts w:hint="eastAsia" w:ascii="宋体" w:hAnsi="宋体"/>
          <w:szCs w:val="21"/>
        </w:rPr>
        <w:t>，并编写评审报告。最后报价是供应商竞争性磋商响应文件的有效组成部分。</w:t>
      </w:r>
    </w:p>
    <w:p w14:paraId="46C2AF0F">
      <w:pPr>
        <w:keepNext w:val="0"/>
        <w:keepLines w:val="0"/>
        <w:pageBreakBefore w:val="0"/>
        <w:widowControl/>
        <w:tabs>
          <w:tab w:val="left" w:pos="540"/>
        </w:tabs>
        <w:kinsoku/>
        <w:overflowPunct/>
        <w:topLinePunct w:val="0"/>
        <w:autoSpaceDE/>
        <w:autoSpaceDN/>
        <w:bidi w:val="0"/>
        <w:adjustRightInd/>
        <w:spacing w:line="380" w:lineRule="exact"/>
        <w:ind w:firstLine="420" w:firstLineChars="200"/>
        <w:jc w:val="left"/>
        <w:textAlignment w:val="auto"/>
        <w:rPr>
          <w:rFonts w:ascii="宋体" w:hAnsi="宋体" w:cs="宋体"/>
          <w:kern w:val="0"/>
          <w:szCs w:val="21"/>
        </w:rPr>
      </w:pPr>
      <w:r>
        <w:rPr>
          <w:rFonts w:hint="eastAsia" w:ascii="宋体" w:hAnsi="宋体" w:cs="宋体"/>
          <w:kern w:val="0"/>
          <w:szCs w:val="21"/>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50C1C7EE">
      <w:pPr>
        <w:keepNext w:val="0"/>
        <w:keepLines w:val="0"/>
        <w:pageBreakBefore w:val="0"/>
        <w:widowControl/>
        <w:tabs>
          <w:tab w:val="left" w:pos="540"/>
        </w:tabs>
        <w:kinsoku/>
        <w:overflowPunct/>
        <w:topLinePunct w:val="0"/>
        <w:autoSpaceDE/>
        <w:autoSpaceDN/>
        <w:bidi w:val="0"/>
        <w:adjustRightInd/>
        <w:spacing w:line="380" w:lineRule="exact"/>
        <w:ind w:firstLine="420" w:firstLineChars="200"/>
        <w:jc w:val="left"/>
        <w:textAlignment w:val="auto"/>
        <w:rPr>
          <w:rFonts w:ascii="宋体" w:hAnsi="宋体"/>
          <w:szCs w:val="21"/>
        </w:rPr>
      </w:pPr>
      <w:r>
        <w:rPr>
          <w:rFonts w:hint="eastAsia" w:ascii="宋体" w:hAnsi="宋体"/>
          <w:szCs w:val="21"/>
        </w:rPr>
        <w:t>14.5在采购过程中符合要求的供应商或者报价未超过采购预算的供应商不足3家的，磋商活动终止。</w:t>
      </w:r>
    </w:p>
    <w:p w14:paraId="0CD59629">
      <w:pPr>
        <w:keepNext w:val="0"/>
        <w:keepLines w:val="0"/>
        <w:pageBreakBefore w:val="0"/>
        <w:widowControl/>
        <w:tabs>
          <w:tab w:val="left" w:pos="540"/>
        </w:tabs>
        <w:kinsoku/>
        <w:overflowPunct/>
        <w:topLinePunct w:val="0"/>
        <w:autoSpaceDE/>
        <w:autoSpaceDN/>
        <w:bidi w:val="0"/>
        <w:adjustRightInd/>
        <w:spacing w:line="380" w:lineRule="exact"/>
        <w:ind w:firstLine="420" w:firstLineChars="200"/>
        <w:jc w:val="left"/>
        <w:textAlignment w:val="auto"/>
        <w:rPr>
          <w:rFonts w:ascii="宋体" w:hAnsi="宋体"/>
          <w:szCs w:val="21"/>
        </w:rPr>
      </w:pPr>
      <w:r>
        <w:rPr>
          <w:rFonts w:hint="eastAsia" w:ascii="宋体" w:hAnsi="宋体"/>
          <w:szCs w:val="21"/>
        </w:rPr>
        <w:t>备注：①属于市场竞争不充分的科研项目，以及需要扶持的科技成果转化项目，提交最后报价的供应商可以为2家。</w:t>
      </w:r>
    </w:p>
    <w:p w14:paraId="10A361FA">
      <w:pPr>
        <w:keepNext w:val="0"/>
        <w:keepLines w:val="0"/>
        <w:pageBreakBefore w:val="0"/>
        <w:widowControl/>
        <w:tabs>
          <w:tab w:val="left" w:pos="540"/>
        </w:tabs>
        <w:kinsoku/>
        <w:overflowPunct/>
        <w:topLinePunct w:val="0"/>
        <w:autoSpaceDE/>
        <w:autoSpaceDN/>
        <w:bidi w:val="0"/>
        <w:adjustRightInd/>
        <w:spacing w:line="380" w:lineRule="exact"/>
        <w:ind w:firstLine="420" w:firstLineChars="200"/>
        <w:jc w:val="left"/>
        <w:textAlignment w:val="auto"/>
        <w:rPr>
          <w:rFonts w:ascii="宋体" w:hAnsi="宋体"/>
          <w:szCs w:val="21"/>
        </w:rPr>
      </w:pPr>
      <w:r>
        <w:rPr>
          <w:rFonts w:hint="eastAsia" w:ascii="宋体" w:hAnsi="宋体"/>
          <w:szCs w:val="21"/>
        </w:rPr>
        <w:t>②根据财库【2015】124号《财政部关于政府采购竞争性磋商采购方式有关问题的通知》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305F91F9">
      <w:pPr>
        <w:keepNext w:val="0"/>
        <w:keepLines w:val="0"/>
        <w:pageBreakBefore w:val="0"/>
        <w:widowControl/>
        <w:tabs>
          <w:tab w:val="left" w:pos="540"/>
        </w:tabs>
        <w:kinsoku/>
        <w:overflowPunct/>
        <w:topLinePunct w:val="0"/>
        <w:autoSpaceDE/>
        <w:autoSpaceDN/>
        <w:bidi w:val="0"/>
        <w:adjustRightInd/>
        <w:spacing w:line="380" w:lineRule="exact"/>
        <w:ind w:firstLine="420" w:firstLineChars="200"/>
        <w:jc w:val="left"/>
        <w:textAlignment w:val="auto"/>
        <w:rPr>
          <w:rFonts w:ascii="宋体" w:hAnsi="宋体"/>
        </w:rPr>
      </w:pPr>
      <w:r>
        <w:rPr>
          <w:rFonts w:hint="eastAsia" w:ascii="宋体" w:hAnsi="宋体"/>
          <w:szCs w:val="21"/>
        </w:rPr>
        <w:t>14.6</w:t>
      </w:r>
      <w:r>
        <w:rPr>
          <w:rFonts w:hint="eastAsia"/>
        </w:rPr>
        <w:t>本采购</w:t>
      </w:r>
      <w:r>
        <w:rPr>
          <w:rFonts w:hint="eastAsia" w:ascii="宋体" w:hAnsi="宋体"/>
        </w:rPr>
        <w:t>项目的评审依据为竞争性磋商文件和竞争性磋商响应文件，采用的评标方法为</w:t>
      </w:r>
      <w:r>
        <w:rPr>
          <w:rFonts w:hint="eastAsia" w:ascii="宋体" w:hAnsi="宋体"/>
          <w:b/>
        </w:rPr>
        <w:t>综合评分法</w:t>
      </w:r>
      <w:r>
        <w:rPr>
          <w:rFonts w:hint="eastAsia" w:ascii="宋体" w:hAnsi="宋体"/>
        </w:rPr>
        <w:t>。</w:t>
      </w:r>
    </w:p>
    <w:p w14:paraId="090B69CC">
      <w:pPr>
        <w:keepNext w:val="0"/>
        <w:keepLines w:val="0"/>
        <w:pageBreakBefore w:val="0"/>
        <w:widowControl/>
        <w:tabs>
          <w:tab w:val="left" w:pos="540"/>
        </w:tabs>
        <w:kinsoku/>
        <w:overflowPunct/>
        <w:topLinePunct w:val="0"/>
        <w:autoSpaceDE/>
        <w:autoSpaceDN/>
        <w:bidi w:val="0"/>
        <w:adjustRightInd/>
        <w:spacing w:line="380" w:lineRule="exact"/>
        <w:ind w:firstLine="422" w:firstLineChars="200"/>
        <w:jc w:val="left"/>
        <w:textAlignment w:val="auto"/>
        <w:rPr>
          <w:rFonts w:ascii="宋体" w:hAnsi="宋体" w:cs="宋体"/>
          <w:b/>
          <w:szCs w:val="21"/>
        </w:rPr>
      </w:pPr>
      <w:r>
        <w:rPr>
          <w:rFonts w:hint="eastAsia" w:ascii="宋体" w:hAnsi="宋体" w:cs="宋体"/>
          <w:b/>
          <w:szCs w:val="21"/>
        </w:rPr>
        <w:t>九、确定成交供应商办法</w:t>
      </w:r>
    </w:p>
    <w:p w14:paraId="243B32EA">
      <w:pPr>
        <w:keepNext w:val="0"/>
        <w:keepLines w:val="0"/>
        <w:pageBreakBefore w:val="0"/>
        <w:widowControl/>
        <w:tabs>
          <w:tab w:val="left" w:pos="540"/>
        </w:tabs>
        <w:kinsoku/>
        <w:overflowPunct/>
        <w:topLinePunct w:val="0"/>
        <w:autoSpaceDE/>
        <w:autoSpaceDN/>
        <w:bidi w:val="0"/>
        <w:adjustRightInd/>
        <w:spacing w:line="380" w:lineRule="exact"/>
        <w:ind w:firstLine="420" w:firstLineChars="200"/>
        <w:jc w:val="left"/>
        <w:textAlignment w:val="auto"/>
        <w:rPr>
          <w:rFonts w:ascii="宋体" w:hAnsi="宋体" w:cs="宋体"/>
          <w:kern w:val="0"/>
          <w:szCs w:val="21"/>
        </w:rPr>
      </w:pPr>
      <w:r>
        <w:rPr>
          <w:rFonts w:hint="eastAsia" w:ascii="宋体" w:hAnsi="宋体" w:cs="宋体"/>
          <w:kern w:val="0"/>
          <w:szCs w:val="21"/>
        </w:rPr>
        <w:t>15.根据以下原则确定成交供应商：质量和服务均能满足</w:t>
      </w:r>
      <w:r>
        <w:rPr>
          <w:rFonts w:hint="eastAsia" w:ascii="宋体" w:hAnsi="宋体" w:cs="宋体"/>
        </w:rPr>
        <w:t>竞争性磋商文件</w:t>
      </w:r>
      <w:r>
        <w:rPr>
          <w:rFonts w:hint="eastAsia" w:ascii="宋体" w:hAnsi="宋体" w:cs="宋体"/>
          <w:kern w:val="0"/>
          <w:szCs w:val="21"/>
        </w:rPr>
        <w:t>实质性响应要求的供应商中</w:t>
      </w:r>
      <w:r>
        <w:rPr>
          <w:rFonts w:ascii="宋体" w:hAnsi="宋体" w:cs="宋体"/>
          <w:kern w:val="0"/>
          <w:szCs w:val="21"/>
        </w:rPr>
        <w:t>按综合评分法</w:t>
      </w:r>
      <w:r>
        <w:rPr>
          <w:rFonts w:hint="eastAsia" w:ascii="宋体" w:hAnsi="宋体" w:cs="宋体"/>
          <w:kern w:val="0"/>
          <w:szCs w:val="21"/>
        </w:rPr>
        <w:t>的成交候选供应商推荐原则</w:t>
      </w:r>
      <w:r>
        <w:rPr>
          <w:rFonts w:ascii="宋体" w:hAnsi="宋体" w:cs="宋体"/>
          <w:kern w:val="0"/>
          <w:szCs w:val="21"/>
        </w:rPr>
        <w:t>确定成交供应商</w:t>
      </w:r>
      <w:r>
        <w:rPr>
          <w:rFonts w:hint="eastAsia" w:ascii="宋体" w:hAnsi="宋体" w:cs="宋体"/>
          <w:kern w:val="0"/>
          <w:szCs w:val="21"/>
        </w:rPr>
        <w:t>。</w:t>
      </w:r>
    </w:p>
    <w:p w14:paraId="5D91C578">
      <w:pPr>
        <w:keepNext w:val="0"/>
        <w:keepLines w:val="0"/>
        <w:pageBreakBefore w:val="0"/>
        <w:widowControl/>
        <w:tabs>
          <w:tab w:val="left" w:pos="540"/>
        </w:tabs>
        <w:kinsoku/>
        <w:overflowPunct/>
        <w:topLinePunct w:val="0"/>
        <w:autoSpaceDE/>
        <w:autoSpaceDN/>
        <w:bidi w:val="0"/>
        <w:adjustRightInd/>
        <w:spacing w:line="380" w:lineRule="exact"/>
        <w:ind w:firstLine="422" w:firstLineChars="200"/>
        <w:jc w:val="left"/>
        <w:textAlignment w:val="auto"/>
        <w:rPr>
          <w:rFonts w:hAnsi="宋体"/>
          <w:b/>
        </w:rPr>
      </w:pPr>
      <w:r>
        <w:rPr>
          <w:rFonts w:hint="eastAsia" w:hAnsi="宋体"/>
          <w:b/>
        </w:rPr>
        <w:t>十、成交结果公告</w:t>
      </w:r>
    </w:p>
    <w:p w14:paraId="2C944E23">
      <w:pPr>
        <w:keepNext w:val="0"/>
        <w:keepLines w:val="0"/>
        <w:pageBreakBefore w:val="0"/>
        <w:widowControl/>
        <w:tabs>
          <w:tab w:val="left" w:pos="540"/>
        </w:tabs>
        <w:kinsoku/>
        <w:wordWrap w:val="0"/>
        <w:overflowPunct/>
        <w:topLinePunct w:val="0"/>
        <w:autoSpaceDE/>
        <w:autoSpaceDN/>
        <w:bidi w:val="0"/>
        <w:adjustRightInd/>
        <w:spacing w:line="380" w:lineRule="exact"/>
        <w:ind w:firstLine="420" w:firstLineChars="200"/>
        <w:jc w:val="left"/>
        <w:textAlignment w:val="auto"/>
        <w:rPr>
          <w:rFonts w:hAnsi="宋体"/>
        </w:rPr>
      </w:pPr>
      <w:r>
        <w:rPr>
          <w:rFonts w:hint="eastAsia" w:ascii="宋体" w:hAnsi="宋体" w:cs="宋体"/>
          <w:kern w:val="0"/>
          <w:szCs w:val="21"/>
        </w:rPr>
        <w:t>16.1</w:t>
      </w:r>
      <w:r>
        <w:rPr>
          <w:rFonts w:hint="eastAsia" w:hAnsi="宋体"/>
        </w:rPr>
        <w:t>采购代理机构在评审结束后2个工作日内将磋商评审报告送采购人确认，</w:t>
      </w:r>
      <w:r>
        <w:rPr>
          <w:rFonts w:hint="eastAsia" w:hAnsi="宋体" w:cs="宋体"/>
          <w:kern w:val="0"/>
        </w:rPr>
        <w:t>采购人</w:t>
      </w:r>
      <w:r>
        <w:rPr>
          <w:rFonts w:hint="eastAsia" w:hAnsi="宋体"/>
        </w:rPr>
        <w:t>确认后，成交结果公告将在财政部门指定的采购信息发布媒体上发布，</w:t>
      </w:r>
      <w:r>
        <w:rPr>
          <w:rFonts w:hint="eastAsia" w:hAnsi="宋体" w:cs="宋体"/>
          <w:kern w:val="0"/>
        </w:rPr>
        <w:t>同时向成交供应商发出成交通知书</w:t>
      </w:r>
      <w:r>
        <w:rPr>
          <w:rFonts w:hint="eastAsia" w:hAnsi="宋体"/>
        </w:rPr>
        <w:t>。</w:t>
      </w:r>
    </w:p>
    <w:p w14:paraId="5A7C67CA">
      <w:pPr>
        <w:pStyle w:val="10"/>
        <w:keepNext w:val="0"/>
        <w:keepLines w:val="0"/>
        <w:pageBreakBefore w:val="0"/>
        <w:kinsoku/>
        <w:overflowPunct/>
        <w:topLinePunct w:val="0"/>
        <w:autoSpaceDE/>
        <w:autoSpaceDN/>
        <w:bidi w:val="0"/>
        <w:adjustRightInd/>
        <w:spacing w:line="380" w:lineRule="exact"/>
        <w:ind w:left="105" w:firstLine="315"/>
        <w:textAlignment w:val="auto"/>
        <w:rPr>
          <w:rFonts w:hAnsi="宋体"/>
          <w:bCs/>
        </w:rPr>
      </w:pPr>
      <w:r>
        <w:rPr>
          <w:rFonts w:hint="eastAsia" w:hAnsi="宋体"/>
        </w:rPr>
        <w:t>16.2磋商供应商</w:t>
      </w:r>
      <w:r>
        <w:rPr>
          <w:rFonts w:hint="eastAsia" w:hAnsi="宋体" w:cs="宋体"/>
          <w:kern w:val="0"/>
        </w:rPr>
        <w:t>认为采购过程、成交结果使自己的权益受到损害的</w:t>
      </w:r>
      <w:r>
        <w:rPr>
          <w:rFonts w:hint="eastAsia" w:hAnsi="宋体"/>
        </w:rPr>
        <w:t>，</w:t>
      </w:r>
      <w:r>
        <w:rPr>
          <w:rFonts w:hint="eastAsia" w:hAnsi="宋体" w:cs="宋体"/>
          <w:kern w:val="0"/>
        </w:rPr>
        <w:t>可以在成交结果公告期限届满之日起</w:t>
      </w:r>
      <w:r>
        <w:rPr>
          <w:rFonts w:hint="eastAsia" w:hAnsi="宋体"/>
          <w:bCs/>
        </w:rPr>
        <w:t>七个工作日内以书面形式向采购代理机构提出质疑</w:t>
      </w:r>
      <w:r>
        <w:rPr>
          <w:rFonts w:hint="eastAsia" w:hAnsi="宋体"/>
        </w:rPr>
        <w:t>，供应商在法定质疑期内必须一次性提出针对同一采购程序环节的质疑</w:t>
      </w:r>
      <w:r>
        <w:rPr>
          <w:rFonts w:hint="eastAsia" w:hAnsi="宋体"/>
          <w:bCs/>
        </w:rPr>
        <w:t>。采购代理机构将在收到</w:t>
      </w:r>
      <w:r>
        <w:rPr>
          <w:rFonts w:hint="eastAsia" w:hAnsi="宋体"/>
        </w:rPr>
        <w:t>磋商供应商</w:t>
      </w:r>
      <w:r>
        <w:rPr>
          <w:rFonts w:hint="eastAsia" w:hAnsi="宋体"/>
          <w:bCs/>
        </w:rPr>
        <w:t>的书面质疑后七个工作日内做出答复，但答复的内容不得涉及商业秘密。</w:t>
      </w:r>
    </w:p>
    <w:p w14:paraId="4A421DBD">
      <w:pPr>
        <w:pStyle w:val="10"/>
        <w:keepNext w:val="0"/>
        <w:keepLines w:val="0"/>
        <w:pageBreakBefore w:val="0"/>
        <w:kinsoku/>
        <w:overflowPunct/>
        <w:topLinePunct w:val="0"/>
        <w:autoSpaceDE/>
        <w:autoSpaceDN/>
        <w:bidi w:val="0"/>
        <w:adjustRightInd/>
        <w:spacing w:line="380" w:lineRule="exact"/>
        <w:ind w:firstLine="420"/>
        <w:textAlignment w:val="auto"/>
        <w:rPr>
          <w:rFonts w:hAnsi="宋体"/>
          <w:bCs/>
        </w:rPr>
      </w:pPr>
      <w:r>
        <w:rPr>
          <w:rFonts w:hint="eastAsia" w:hAnsi="宋体"/>
        </w:rPr>
        <w:t>16.3</w:t>
      </w:r>
      <w:r>
        <w:rPr>
          <w:rFonts w:hint="eastAsia" w:hAnsi="宋体"/>
          <w:bCs/>
        </w:rPr>
        <w:t>质疑</w:t>
      </w:r>
      <w:r>
        <w:rPr>
          <w:rFonts w:hint="eastAsia" w:hAnsi="宋体"/>
        </w:rPr>
        <w:t>磋商供应商</w:t>
      </w:r>
      <w:r>
        <w:rPr>
          <w:rFonts w:hint="eastAsia" w:hAnsi="宋体"/>
          <w:bCs/>
        </w:rPr>
        <w:t>必须首先经过质疑程序，在对采购代理机构的答复不满意或者采购代理机构未在规定的时间内做出答复的，可以在答复期满后十五个工作日内书面向相关监督管理部门投诉。</w:t>
      </w:r>
    </w:p>
    <w:p w14:paraId="208AF26F">
      <w:pPr>
        <w:pStyle w:val="10"/>
        <w:keepNext w:val="0"/>
        <w:keepLines w:val="0"/>
        <w:pageBreakBefore w:val="0"/>
        <w:kinsoku/>
        <w:overflowPunct/>
        <w:topLinePunct w:val="0"/>
        <w:autoSpaceDE/>
        <w:autoSpaceDN/>
        <w:bidi w:val="0"/>
        <w:adjustRightInd/>
        <w:spacing w:line="380" w:lineRule="exact"/>
        <w:ind w:firstLine="420"/>
        <w:textAlignment w:val="auto"/>
        <w:rPr>
          <w:rFonts w:hAnsi="宋体"/>
        </w:rPr>
      </w:pPr>
      <w:r>
        <w:rPr>
          <w:rFonts w:hint="eastAsia" w:hAnsi="宋体"/>
        </w:rPr>
        <w:t>质疑联系部门及电话为：广西国力招标有限公司                    0771-4915558</w:t>
      </w:r>
    </w:p>
    <w:p w14:paraId="79883F93">
      <w:pPr>
        <w:pStyle w:val="10"/>
        <w:keepNext w:val="0"/>
        <w:keepLines w:val="0"/>
        <w:pageBreakBefore w:val="0"/>
        <w:kinsoku/>
        <w:overflowPunct/>
        <w:topLinePunct w:val="0"/>
        <w:autoSpaceDE/>
        <w:autoSpaceDN/>
        <w:bidi w:val="0"/>
        <w:adjustRightInd/>
        <w:spacing w:line="380" w:lineRule="exact"/>
        <w:ind w:firstLine="420"/>
        <w:textAlignment w:val="auto"/>
        <w:rPr>
          <w:rFonts w:hAnsi="宋体"/>
          <w:highlight w:val="none"/>
        </w:rPr>
      </w:pPr>
      <w:r>
        <w:rPr>
          <w:rFonts w:hint="eastAsia" w:hAnsi="宋体"/>
          <w:highlight w:val="none"/>
        </w:rPr>
        <w:t>通讯地址：广西南宁市白沙大道53号松宇时代13楼</w:t>
      </w:r>
    </w:p>
    <w:p w14:paraId="47D7CAAE">
      <w:pPr>
        <w:pStyle w:val="10"/>
        <w:keepNext w:val="0"/>
        <w:keepLines w:val="0"/>
        <w:pageBreakBefore w:val="0"/>
        <w:kinsoku/>
        <w:overflowPunct/>
        <w:topLinePunct w:val="0"/>
        <w:autoSpaceDE/>
        <w:autoSpaceDN/>
        <w:bidi w:val="0"/>
        <w:adjustRightInd/>
        <w:spacing w:line="380" w:lineRule="exact"/>
        <w:ind w:firstLine="420"/>
        <w:textAlignment w:val="auto"/>
        <w:rPr>
          <w:rFonts w:hAnsi="宋体"/>
          <w:b/>
          <w:highlight w:val="none"/>
        </w:rPr>
      </w:pPr>
      <w:r>
        <w:rPr>
          <w:rFonts w:hint="eastAsia" w:hAnsi="宋体"/>
          <w:b/>
          <w:highlight w:val="none"/>
        </w:rPr>
        <w:t>十一、签订合同</w:t>
      </w:r>
    </w:p>
    <w:p w14:paraId="0A206132">
      <w:pPr>
        <w:pStyle w:val="10"/>
        <w:keepNext w:val="0"/>
        <w:keepLines w:val="0"/>
        <w:pageBreakBefore w:val="0"/>
        <w:kinsoku/>
        <w:overflowPunct/>
        <w:topLinePunct w:val="0"/>
        <w:autoSpaceDE/>
        <w:autoSpaceDN/>
        <w:bidi w:val="0"/>
        <w:adjustRightInd/>
        <w:spacing w:line="380" w:lineRule="exact"/>
        <w:ind w:firstLine="420"/>
        <w:textAlignment w:val="auto"/>
        <w:rPr>
          <w:rFonts w:hAnsi="宋体"/>
          <w:color w:val="auto"/>
          <w:highlight w:val="none"/>
        </w:rPr>
      </w:pPr>
      <w:r>
        <w:rPr>
          <w:rFonts w:hint="eastAsia" w:hAnsi="宋体"/>
          <w:highlight w:val="none"/>
        </w:rPr>
        <w:t>17.1成交供应商自成交通</w:t>
      </w:r>
      <w:r>
        <w:rPr>
          <w:rFonts w:hint="eastAsia" w:hAnsi="宋体"/>
          <w:color w:val="auto"/>
          <w:highlight w:val="none"/>
        </w:rPr>
        <w:t>知书发出之日起</w:t>
      </w:r>
      <w:r>
        <w:rPr>
          <w:rFonts w:hint="eastAsia" w:hAnsi="宋体"/>
          <w:b/>
          <w:color w:val="auto"/>
          <w:highlight w:val="none"/>
          <w:lang w:val="en-US" w:eastAsia="zh-CN"/>
        </w:rPr>
        <w:t>25</w:t>
      </w:r>
      <w:r>
        <w:rPr>
          <w:rFonts w:hint="eastAsia" w:hAnsi="宋体"/>
          <w:b/>
          <w:color w:val="auto"/>
          <w:highlight w:val="none"/>
        </w:rPr>
        <w:t>日</w:t>
      </w:r>
      <w:r>
        <w:rPr>
          <w:rFonts w:hint="eastAsia" w:hAnsi="宋体"/>
          <w:color w:val="auto"/>
          <w:highlight w:val="none"/>
        </w:rPr>
        <w:t>内与采购人签订合同。</w:t>
      </w:r>
    </w:p>
    <w:p w14:paraId="08272B02">
      <w:pPr>
        <w:pStyle w:val="10"/>
        <w:keepNext w:val="0"/>
        <w:keepLines w:val="0"/>
        <w:pageBreakBefore w:val="0"/>
        <w:kinsoku/>
        <w:overflowPunct/>
        <w:topLinePunct w:val="0"/>
        <w:autoSpaceDE/>
        <w:autoSpaceDN/>
        <w:bidi w:val="0"/>
        <w:adjustRightInd/>
        <w:spacing w:line="380" w:lineRule="exact"/>
        <w:ind w:firstLine="420"/>
        <w:textAlignment w:val="auto"/>
        <w:rPr>
          <w:rFonts w:hAnsi="宋体" w:cs="宋体"/>
          <w:color w:val="auto"/>
          <w:kern w:val="0"/>
          <w:highlight w:val="none"/>
        </w:rPr>
      </w:pPr>
      <w:r>
        <w:rPr>
          <w:rFonts w:hint="eastAsia" w:hAnsi="宋体"/>
          <w:color w:val="auto"/>
          <w:highlight w:val="none"/>
        </w:rPr>
        <w:t>17.2</w:t>
      </w:r>
      <w:r>
        <w:rPr>
          <w:rFonts w:hint="eastAsia" w:hAnsi="宋体" w:cs="宋体"/>
          <w:color w:val="auto"/>
          <w:kern w:val="0"/>
          <w:highlight w:val="none"/>
        </w:rPr>
        <w:t>成交供应商拒绝签订采购合同的</w:t>
      </w:r>
      <w:r>
        <w:rPr>
          <w:rFonts w:hint="eastAsia" w:hAnsi="宋体"/>
          <w:color w:val="auto"/>
          <w:highlight w:val="none"/>
        </w:rPr>
        <w:t>，采购人可以根据磋商评审报告确定成交供应商之后排名第一的成交候选供应商</w:t>
      </w:r>
      <w:r>
        <w:rPr>
          <w:rFonts w:hint="eastAsia" w:hAnsi="宋体" w:cs="宋体"/>
          <w:color w:val="auto"/>
          <w:kern w:val="0"/>
          <w:highlight w:val="none"/>
        </w:rPr>
        <w:t>作为</w:t>
      </w:r>
      <w:r>
        <w:rPr>
          <w:rFonts w:hint="eastAsia" w:hAnsi="宋体"/>
          <w:color w:val="auto"/>
          <w:highlight w:val="none"/>
        </w:rPr>
        <w:t>成交供应商</w:t>
      </w:r>
      <w:r>
        <w:rPr>
          <w:rFonts w:hint="eastAsia" w:hAnsi="宋体" w:cs="宋体"/>
          <w:color w:val="auto"/>
          <w:kern w:val="0"/>
          <w:highlight w:val="none"/>
        </w:rPr>
        <w:t>并签订采购合同，也可以重新开展采购活动。拒绝签订采购合同的成交供应商不得参加对该项目重新开展的采购活动。</w:t>
      </w:r>
    </w:p>
    <w:p w14:paraId="1951BD32">
      <w:pPr>
        <w:pStyle w:val="10"/>
        <w:keepNext w:val="0"/>
        <w:keepLines w:val="0"/>
        <w:pageBreakBefore w:val="0"/>
        <w:kinsoku/>
        <w:overflowPunct/>
        <w:topLinePunct w:val="0"/>
        <w:autoSpaceDE/>
        <w:autoSpaceDN/>
        <w:bidi w:val="0"/>
        <w:adjustRightInd/>
        <w:spacing w:line="380" w:lineRule="exact"/>
        <w:ind w:firstLine="420"/>
        <w:textAlignment w:val="auto"/>
        <w:rPr>
          <w:rFonts w:hAnsi="宋体"/>
          <w:b/>
          <w:color w:val="auto"/>
          <w:highlight w:val="none"/>
        </w:rPr>
      </w:pPr>
      <w:r>
        <w:rPr>
          <w:rFonts w:hint="eastAsia"/>
          <w:b/>
          <w:color w:val="auto"/>
          <w:highlight w:val="none"/>
        </w:rPr>
        <w:t>17.3</w:t>
      </w:r>
      <w:r>
        <w:rPr>
          <w:rFonts w:hint="eastAsia" w:hAnsi="宋体" w:cs="宋体"/>
          <w:b/>
          <w:color w:val="auto"/>
          <w:kern w:val="0"/>
          <w:highlight w:val="none"/>
        </w:rPr>
        <w:t>成交供应商因不可抗力或者自身原因不能履行采购合同的，采购人可以与排位在成交供应商之后第一位的成交候选供应商签订采购合同，以此类推。除不可抗力外，成交供应商不签订采购合同的，按违约处理，采购代理机构将没收成交供应商全部磋商保证金，并转至采购人指定账户。</w:t>
      </w:r>
    </w:p>
    <w:p w14:paraId="3A996479">
      <w:pPr>
        <w:pStyle w:val="10"/>
        <w:keepNext w:val="0"/>
        <w:keepLines w:val="0"/>
        <w:pageBreakBefore w:val="0"/>
        <w:kinsoku/>
        <w:overflowPunct/>
        <w:topLinePunct w:val="0"/>
        <w:autoSpaceDE/>
        <w:autoSpaceDN/>
        <w:bidi w:val="0"/>
        <w:adjustRightInd/>
        <w:spacing w:line="380" w:lineRule="exact"/>
        <w:ind w:firstLine="420"/>
        <w:textAlignment w:val="auto"/>
        <w:rPr>
          <w:rFonts w:hint="eastAsia" w:hAnsi="宋体"/>
          <w:b/>
          <w:color w:val="auto"/>
          <w:highlight w:val="none"/>
        </w:rPr>
      </w:pPr>
      <w:r>
        <w:rPr>
          <w:rFonts w:hint="eastAsia" w:hAnsi="宋体"/>
          <w:b/>
          <w:color w:val="auto"/>
          <w:highlight w:val="none"/>
        </w:rPr>
        <w:t>17.4履约保证金</w:t>
      </w:r>
    </w:p>
    <w:p w14:paraId="62C02BC3">
      <w:pPr>
        <w:keepNext w:val="0"/>
        <w:keepLines w:val="0"/>
        <w:pageBreakBefore w:val="0"/>
        <w:widowControl w:val="0"/>
        <w:kinsoku/>
        <w:overflowPunct/>
        <w:topLinePunct w:val="0"/>
        <w:autoSpaceDE/>
        <w:autoSpaceDN/>
        <w:bidi w:val="0"/>
        <w:adjustRightInd/>
        <w:spacing w:line="380" w:lineRule="exact"/>
        <w:ind w:firstLine="420"/>
        <w:jc w:val="both"/>
        <w:textAlignment w:val="auto"/>
        <w:rPr>
          <w:rFonts w:hint="eastAsia" w:ascii="宋体" w:hAnsi="宋体" w:eastAsia="宋体" w:cs="Courier New"/>
          <w:color w:val="auto"/>
          <w:kern w:val="2"/>
          <w:sz w:val="21"/>
          <w:szCs w:val="21"/>
          <w:highlight w:val="none"/>
          <w:lang w:val="en-US" w:eastAsia="zh-CN" w:bidi="ar-SA"/>
        </w:rPr>
      </w:pPr>
      <w:r>
        <w:rPr>
          <w:rFonts w:hint="eastAsia" w:ascii="宋体" w:hAnsi="宋体" w:cs="Courier New"/>
          <w:color w:val="auto"/>
          <w:kern w:val="2"/>
          <w:sz w:val="21"/>
          <w:szCs w:val="21"/>
          <w:highlight w:val="none"/>
          <w:lang w:val="en-US" w:eastAsia="zh-CN" w:bidi="ar-SA"/>
        </w:rPr>
        <w:t>本项目不收取</w:t>
      </w:r>
      <w:r>
        <w:rPr>
          <w:rFonts w:hint="eastAsia" w:ascii="宋体" w:hAnsi="宋体" w:cs="Courier New"/>
          <w:b w:val="0"/>
          <w:color w:val="auto"/>
          <w:szCs w:val="21"/>
          <w:highlight w:val="none"/>
        </w:rPr>
        <w:t>履约保证金</w:t>
      </w:r>
    </w:p>
    <w:p w14:paraId="12F081E6">
      <w:pPr>
        <w:pStyle w:val="10"/>
        <w:keepNext w:val="0"/>
        <w:keepLines w:val="0"/>
        <w:pageBreakBefore w:val="0"/>
        <w:kinsoku/>
        <w:overflowPunct/>
        <w:topLinePunct w:val="0"/>
        <w:autoSpaceDE/>
        <w:autoSpaceDN/>
        <w:bidi w:val="0"/>
        <w:adjustRightInd/>
        <w:spacing w:line="380" w:lineRule="exact"/>
        <w:ind w:firstLine="420"/>
        <w:textAlignment w:val="auto"/>
        <w:rPr>
          <w:rFonts w:hAnsi="宋体"/>
          <w:b/>
          <w:color w:val="auto"/>
          <w:highlight w:val="none"/>
        </w:rPr>
      </w:pPr>
      <w:r>
        <w:rPr>
          <w:rFonts w:hint="eastAsia" w:hAnsi="宋体"/>
          <w:b/>
          <w:color w:val="auto"/>
          <w:highlight w:val="none"/>
        </w:rPr>
        <w:t>十二、适用法律</w:t>
      </w:r>
    </w:p>
    <w:p w14:paraId="200BDDB1">
      <w:pPr>
        <w:pStyle w:val="10"/>
        <w:keepNext w:val="0"/>
        <w:keepLines w:val="0"/>
        <w:pageBreakBefore w:val="0"/>
        <w:kinsoku/>
        <w:overflowPunct/>
        <w:topLinePunct w:val="0"/>
        <w:autoSpaceDE/>
        <w:autoSpaceDN/>
        <w:bidi w:val="0"/>
        <w:adjustRightInd/>
        <w:spacing w:line="380" w:lineRule="exact"/>
        <w:ind w:firstLine="420"/>
        <w:textAlignment w:val="auto"/>
        <w:rPr>
          <w:rFonts w:hAnsi="宋体"/>
          <w:highlight w:val="none"/>
        </w:rPr>
      </w:pPr>
      <w:r>
        <w:rPr>
          <w:rFonts w:hint="eastAsia" w:hAnsi="宋体"/>
          <w:highlight w:val="none"/>
        </w:rPr>
        <w:t>18.采购当事人的一切活动均适用于《中华人民共和国政府采购法》及相关规定。最终磋商结束后，</w:t>
      </w:r>
    </w:p>
    <w:p w14:paraId="27632D46">
      <w:pPr>
        <w:keepNext w:val="0"/>
        <w:keepLines w:val="0"/>
        <w:pageBreakBefore w:val="0"/>
        <w:kinsoku/>
        <w:overflowPunct/>
        <w:topLinePunct w:val="0"/>
        <w:autoSpaceDE/>
        <w:autoSpaceDN/>
        <w:bidi w:val="0"/>
        <w:adjustRightInd/>
        <w:spacing w:line="380" w:lineRule="exact"/>
        <w:textAlignment w:val="auto"/>
        <w:rPr>
          <w:rFonts w:ascii="宋体" w:hAnsi="宋体"/>
          <w:szCs w:val="21"/>
          <w:highlight w:val="none"/>
        </w:rPr>
      </w:pPr>
      <w:r>
        <w:rPr>
          <w:rFonts w:hint="eastAsia" w:ascii="宋体" w:hAnsi="宋体"/>
          <w:szCs w:val="21"/>
          <w:highlight w:val="none"/>
        </w:rPr>
        <w:t>磋商小组不得再与磋商供应商进行任何形式的商谈。</w:t>
      </w:r>
    </w:p>
    <w:p w14:paraId="2BAAF179">
      <w:pPr>
        <w:keepNext w:val="0"/>
        <w:keepLines w:val="0"/>
        <w:pageBreakBefore w:val="0"/>
        <w:kinsoku/>
        <w:overflowPunct/>
        <w:topLinePunct w:val="0"/>
        <w:autoSpaceDE/>
        <w:autoSpaceDN/>
        <w:bidi w:val="0"/>
        <w:adjustRightInd/>
        <w:spacing w:line="380" w:lineRule="exact"/>
        <w:ind w:firstLine="422" w:firstLineChars="200"/>
        <w:textAlignment w:val="auto"/>
        <w:rPr>
          <w:rFonts w:ascii="宋体" w:hAnsi="宋体"/>
          <w:b/>
          <w:szCs w:val="21"/>
          <w:highlight w:val="none"/>
        </w:rPr>
      </w:pPr>
      <w:r>
        <w:rPr>
          <w:rFonts w:hint="eastAsia" w:ascii="宋体" w:hAnsi="宋体"/>
          <w:b/>
          <w:szCs w:val="21"/>
          <w:highlight w:val="none"/>
        </w:rPr>
        <w:t>十三、其他事项</w:t>
      </w:r>
    </w:p>
    <w:p w14:paraId="445C43B5">
      <w:pPr>
        <w:keepNext w:val="0"/>
        <w:keepLines w:val="0"/>
        <w:pageBreakBefore w:val="0"/>
        <w:kinsoku/>
        <w:overflowPunct/>
        <w:topLinePunct w:val="0"/>
        <w:autoSpaceDE/>
        <w:autoSpaceDN/>
        <w:bidi w:val="0"/>
        <w:adjustRightInd/>
        <w:spacing w:line="380" w:lineRule="exact"/>
        <w:ind w:firstLine="422" w:firstLineChars="200"/>
        <w:textAlignment w:val="auto"/>
        <w:rPr>
          <w:rFonts w:ascii="宋体" w:hAnsi="宋体" w:cs="Courier New"/>
          <w:b/>
          <w:szCs w:val="21"/>
          <w:highlight w:val="none"/>
        </w:rPr>
      </w:pPr>
      <w:r>
        <w:rPr>
          <w:rFonts w:hint="eastAsia" w:ascii="宋体" w:hAnsi="宋体" w:cs="Courier New"/>
          <w:b/>
          <w:szCs w:val="21"/>
          <w:highlight w:val="none"/>
        </w:rPr>
        <w:t>19.1成交服务费</w:t>
      </w:r>
    </w:p>
    <w:p w14:paraId="1CAE8247">
      <w:pPr>
        <w:pStyle w:val="10"/>
        <w:keepNext w:val="0"/>
        <w:keepLines w:val="0"/>
        <w:pageBreakBefore w:val="0"/>
        <w:kinsoku/>
        <w:overflowPunct/>
        <w:topLinePunct w:val="0"/>
        <w:autoSpaceDE/>
        <w:autoSpaceDN/>
        <w:bidi w:val="0"/>
        <w:adjustRightInd/>
        <w:spacing w:line="380" w:lineRule="exact"/>
        <w:ind w:firstLine="420"/>
        <w:textAlignment w:val="auto"/>
        <w:rPr>
          <w:rFonts w:hint="eastAsia" w:ascii="宋体" w:hAnsi="宋体" w:eastAsia="宋体"/>
          <w:highlight w:val="none"/>
        </w:rPr>
      </w:pPr>
      <w:r>
        <w:rPr>
          <w:rFonts w:hint="eastAsia" w:ascii="宋体" w:hAnsi="宋体" w:eastAsia="宋体"/>
          <w:highlight w:val="none"/>
        </w:rPr>
        <w:t>（1）</w:t>
      </w:r>
      <w:r>
        <w:rPr>
          <w:rFonts w:hint="eastAsia" w:hAnsi="宋体" w:cs="宋体"/>
          <w:color w:val="auto"/>
          <w:highlight w:val="none"/>
        </w:rPr>
        <w:t>采购代理机构根据有关收费规定并经双方商定，代理服务费按国家发展计划委员会文件计价格（2002）1980号《国家计委关于印发&lt;招标代理服务收费管理暂行办法&gt;的通知》规定标准下浮20%计取，</w:t>
      </w:r>
      <w:r>
        <w:rPr>
          <w:rFonts w:hint="eastAsia" w:ascii="宋体" w:hAnsi="宋体" w:eastAsia="宋体"/>
          <w:highlight w:val="none"/>
          <w:lang w:val="en-US" w:eastAsia="zh-CN"/>
        </w:rPr>
        <w:t>不足</w:t>
      </w:r>
      <w:r>
        <w:rPr>
          <w:rFonts w:hint="eastAsia" w:hAnsi="宋体"/>
          <w:highlight w:val="none"/>
          <w:lang w:val="en-US" w:eastAsia="zh-CN"/>
        </w:rPr>
        <w:t>45</w:t>
      </w:r>
      <w:r>
        <w:rPr>
          <w:rFonts w:hint="eastAsia" w:ascii="宋体" w:hAnsi="宋体" w:eastAsia="宋体"/>
          <w:highlight w:val="none"/>
          <w:lang w:val="en-US" w:eastAsia="zh-CN"/>
        </w:rPr>
        <w:t>00元，按</w:t>
      </w:r>
      <w:r>
        <w:rPr>
          <w:rFonts w:hint="eastAsia" w:hAnsi="宋体"/>
          <w:highlight w:val="none"/>
          <w:lang w:val="en-US" w:eastAsia="zh-CN"/>
        </w:rPr>
        <w:t>45</w:t>
      </w:r>
      <w:r>
        <w:rPr>
          <w:rFonts w:hint="eastAsia" w:ascii="宋体" w:hAnsi="宋体" w:eastAsia="宋体"/>
          <w:highlight w:val="none"/>
          <w:lang w:val="en-US" w:eastAsia="zh-CN"/>
        </w:rPr>
        <w:t>00元计取。</w:t>
      </w:r>
      <w:r>
        <w:rPr>
          <w:rFonts w:hint="eastAsia" w:hAnsi="宋体" w:cs="宋体"/>
          <w:color w:val="auto"/>
          <w:highlight w:val="none"/>
        </w:rPr>
        <w:t>发布成交结果公告后，成交供应商须向广西国力招标有限公司一次付清成交服务费。</w:t>
      </w:r>
    </w:p>
    <w:p w14:paraId="210F3BFF">
      <w:pPr>
        <w:keepNext w:val="0"/>
        <w:keepLines w:val="0"/>
        <w:pageBreakBefore w:val="0"/>
        <w:kinsoku/>
        <w:overflowPunct/>
        <w:topLinePunct w:val="0"/>
        <w:autoSpaceDE/>
        <w:autoSpaceDN/>
        <w:bidi w:val="0"/>
        <w:adjustRightInd/>
        <w:spacing w:line="380" w:lineRule="exact"/>
        <w:ind w:firstLine="435"/>
        <w:textAlignment w:val="auto"/>
        <w:rPr>
          <w:rFonts w:ascii="宋体" w:hAnsi="Courier New" w:cs="Courier New"/>
          <w:szCs w:val="21"/>
          <w:highlight w:val="none"/>
        </w:rPr>
      </w:pPr>
      <w:r>
        <w:rPr>
          <w:rFonts w:hint="eastAsia" w:ascii="宋体" w:hAnsi="Courier New" w:cs="Courier New"/>
          <w:szCs w:val="21"/>
          <w:highlight w:val="none"/>
        </w:rPr>
        <w:t>（2）代理服务收费标准：</w:t>
      </w:r>
    </w:p>
    <w:tbl>
      <w:tblPr>
        <w:tblStyle w:val="20"/>
        <w:tblpPr w:leftFromText="180" w:rightFromText="180" w:vertAnchor="text" w:horzAnchor="margin" w:tblpXSpec="center" w:tblpY="1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1202C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tcPr>
          <w:p w14:paraId="31918C43">
            <w:pPr>
              <w:keepNext w:val="0"/>
              <w:keepLines w:val="0"/>
              <w:pageBreakBefore w:val="0"/>
              <w:suppressLineNumbers w:val="0"/>
              <w:kinsoku/>
              <w:overflowPunct/>
              <w:topLinePunct w:val="0"/>
              <w:autoSpaceDE/>
              <w:autoSpaceDN/>
              <w:bidi w:val="0"/>
              <w:adjustRightInd/>
              <w:spacing w:before="0" w:beforeAutospacing="0" w:after="0" w:afterAutospacing="0" w:line="380" w:lineRule="exact"/>
              <w:ind w:left="0" w:right="0"/>
              <w:textAlignment w:val="auto"/>
              <w:rPr>
                <w:rFonts w:hint="default" w:ascii="Calibri" w:hAnsi="Calibri"/>
                <w:szCs w:val="21"/>
                <w:highlight w:val="none"/>
              </w:rPr>
            </w:pPr>
            <w:r>
              <w:rPr>
                <w:rFonts w:hint="eastAsia" w:ascii="Calibri" w:hAnsi="Calibri"/>
                <w:szCs w:val="21"/>
                <w:highlight w:val="none"/>
              </w:rPr>
              <w:t xml:space="preserve">               费率</w:t>
            </w:r>
          </w:p>
          <w:p w14:paraId="02CFDEA8">
            <w:pPr>
              <w:keepNext w:val="0"/>
              <w:keepLines w:val="0"/>
              <w:pageBreakBefore w:val="0"/>
              <w:suppressLineNumbers w:val="0"/>
              <w:kinsoku/>
              <w:overflowPunct/>
              <w:topLinePunct w:val="0"/>
              <w:autoSpaceDE/>
              <w:autoSpaceDN/>
              <w:bidi w:val="0"/>
              <w:adjustRightInd/>
              <w:spacing w:before="0" w:beforeAutospacing="0" w:after="0" w:afterAutospacing="0" w:line="380" w:lineRule="exact"/>
              <w:ind w:left="0" w:right="0"/>
              <w:textAlignment w:val="auto"/>
              <w:rPr>
                <w:rFonts w:hint="default" w:ascii="Calibri" w:hAnsi="Calibri"/>
                <w:szCs w:val="21"/>
                <w:highlight w:val="none"/>
              </w:rPr>
            </w:pPr>
            <w:r>
              <w:rPr>
                <w:rFonts w:hint="eastAsia" w:ascii="Calibri" w:hAnsi="Calibri"/>
                <w:szCs w:val="21"/>
                <w:highlight w:val="none"/>
              </w:rPr>
              <w:t>中标金额</w:t>
            </w:r>
          </w:p>
        </w:tc>
        <w:tc>
          <w:tcPr>
            <w:tcW w:w="1659" w:type="dxa"/>
            <w:vAlign w:val="center"/>
          </w:tcPr>
          <w:p w14:paraId="4FCC1C12">
            <w:pPr>
              <w:keepNext w:val="0"/>
              <w:keepLines w:val="0"/>
              <w:pageBreakBefore w:val="0"/>
              <w:suppressLineNumbers w:val="0"/>
              <w:kinsoku/>
              <w:overflowPunct/>
              <w:topLinePunct w:val="0"/>
              <w:autoSpaceDE/>
              <w:autoSpaceDN/>
              <w:bidi w:val="0"/>
              <w:adjustRightInd/>
              <w:spacing w:before="0" w:beforeAutospacing="0" w:after="0" w:afterAutospacing="0" w:line="380" w:lineRule="exact"/>
              <w:ind w:left="0" w:right="0" w:firstLine="105" w:firstLineChars="50"/>
              <w:jc w:val="center"/>
              <w:textAlignment w:val="auto"/>
              <w:rPr>
                <w:rFonts w:hint="default" w:ascii="Calibri" w:hAnsi="Calibri"/>
                <w:szCs w:val="21"/>
                <w:highlight w:val="none"/>
              </w:rPr>
            </w:pPr>
            <w:r>
              <w:rPr>
                <w:rFonts w:hint="eastAsia" w:ascii="Calibri" w:hAnsi="Calibri"/>
                <w:szCs w:val="21"/>
                <w:highlight w:val="none"/>
              </w:rPr>
              <w:t>货物招标</w:t>
            </w:r>
          </w:p>
        </w:tc>
        <w:tc>
          <w:tcPr>
            <w:tcW w:w="1687" w:type="dxa"/>
            <w:vAlign w:val="center"/>
          </w:tcPr>
          <w:p w14:paraId="19B6FD9F">
            <w:pPr>
              <w:keepNext w:val="0"/>
              <w:keepLines w:val="0"/>
              <w:pageBreakBefore w:val="0"/>
              <w:suppressLineNumbers w:val="0"/>
              <w:kinsoku/>
              <w:overflowPunct/>
              <w:topLinePunct w:val="0"/>
              <w:autoSpaceDE/>
              <w:autoSpaceDN/>
              <w:bidi w:val="0"/>
              <w:adjustRightInd/>
              <w:spacing w:before="0" w:beforeAutospacing="0" w:after="0" w:afterAutospacing="0" w:line="380" w:lineRule="exact"/>
              <w:ind w:left="0" w:right="0"/>
              <w:jc w:val="center"/>
              <w:textAlignment w:val="auto"/>
              <w:rPr>
                <w:rFonts w:hint="default" w:ascii="Calibri" w:hAnsi="Calibri"/>
                <w:szCs w:val="21"/>
                <w:highlight w:val="none"/>
              </w:rPr>
            </w:pPr>
            <w:r>
              <w:rPr>
                <w:rFonts w:hint="eastAsia" w:ascii="Calibri" w:hAnsi="Calibri"/>
                <w:szCs w:val="21"/>
                <w:highlight w:val="none"/>
              </w:rPr>
              <w:t>服务招标</w:t>
            </w:r>
          </w:p>
        </w:tc>
        <w:tc>
          <w:tcPr>
            <w:tcW w:w="1659" w:type="dxa"/>
            <w:vAlign w:val="center"/>
          </w:tcPr>
          <w:p w14:paraId="14D51FBE">
            <w:pPr>
              <w:keepNext w:val="0"/>
              <w:keepLines w:val="0"/>
              <w:pageBreakBefore w:val="0"/>
              <w:suppressLineNumbers w:val="0"/>
              <w:kinsoku/>
              <w:overflowPunct/>
              <w:topLinePunct w:val="0"/>
              <w:autoSpaceDE/>
              <w:autoSpaceDN/>
              <w:bidi w:val="0"/>
              <w:adjustRightInd/>
              <w:spacing w:before="0" w:beforeAutospacing="0" w:after="0" w:afterAutospacing="0" w:line="380" w:lineRule="exact"/>
              <w:ind w:left="0" w:right="0"/>
              <w:jc w:val="center"/>
              <w:textAlignment w:val="auto"/>
              <w:rPr>
                <w:rFonts w:hint="default" w:ascii="Calibri" w:hAnsi="Calibri"/>
                <w:szCs w:val="21"/>
                <w:highlight w:val="none"/>
              </w:rPr>
            </w:pPr>
            <w:r>
              <w:rPr>
                <w:rFonts w:hint="eastAsia" w:ascii="Calibri" w:hAnsi="Calibri"/>
                <w:szCs w:val="21"/>
                <w:highlight w:val="none"/>
              </w:rPr>
              <w:t>工程招标</w:t>
            </w:r>
          </w:p>
        </w:tc>
      </w:tr>
      <w:tr w14:paraId="3A862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5A3F3F28">
            <w:pPr>
              <w:keepNext w:val="0"/>
              <w:keepLines w:val="0"/>
              <w:pageBreakBefore w:val="0"/>
              <w:suppressLineNumbers w:val="0"/>
              <w:kinsoku/>
              <w:overflowPunct/>
              <w:topLinePunct w:val="0"/>
              <w:autoSpaceDE/>
              <w:autoSpaceDN/>
              <w:bidi w:val="0"/>
              <w:adjustRightInd/>
              <w:spacing w:before="0" w:beforeAutospacing="0" w:after="0" w:afterAutospacing="0" w:line="380" w:lineRule="exact"/>
              <w:ind w:left="0" w:right="0"/>
              <w:textAlignment w:val="auto"/>
              <w:rPr>
                <w:rFonts w:hint="default" w:ascii="宋体" w:hAnsi="宋体"/>
                <w:szCs w:val="21"/>
                <w:highlight w:val="none"/>
              </w:rPr>
            </w:pPr>
            <w:r>
              <w:rPr>
                <w:rFonts w:hint="eastAsia" w:ascii="宋体" w:hAnsi="宋体"/>
                <w:szCs w:val="21"/>
                <w:highlight w:val="none"/>
              </w:rPr>
              <w:t>100万元以下</w:t>
            </w:r>
          </w:p>
        </w:tc>
        <w:tc>
          <w:tcPr>
            <w:tcW w:w="1659" w:type="dxa"/>
          </w:tcPr>
          <w:p w14:paraId="0E555CFF">
            <w:pPr>
              <w:keepNext w:val="0"/>
              <w:keepLines w:val="0"/>
              <w:pageBreakBefore w:val="0"/>
              <w:suppressLineNumbers w:val="0"/>
              <w:kinsoku/>
              <w:overflowPunct/>
              <w:topLinePunct w:val="0"/>
              <w:autoSpaceDE/>
              <w:autoSpaceDN/>
              <w:bidi w:val="0"/>
              <w:adjustRightInd/>
              <w:spacing w:before="0" w:beforeAutospacing="0" w:after="0" w:afterAutospacing="0" w:line="380" w:lineRule="exact"/>
              <w:ind w:left="0" w:right="0"/>
              <w:textAlignment w:val="auto"/>
              <w:rPr>
                <w:rFonts w:hint="default" w:ascii="宋体" w:hAnsi="宋体"/>
                <w:szCs w:val="21"/>
                <w:highlight w:val="none"/>
              </w:rPr>
            </w:pPr>
            <w:r>
              <w:rPr>
                <w:rFonts w:hint="eastAsia" w:ascii="宋体" w:hAnsi="宋体" w:cs="宋体"/>
                <w:kern w:val="0"/>
                <w:szCs w:val="21"/>
                <w:highlight w:val="none"/>
              </w:rPr>
              <w:t xml:space="preserve">  1.5%                </w:t>
            </w:r>
          </w:p>
        </w:tc>
        <w:tc>
          <w:tcPr>
            <w:tcW w:w="1687" w:type="dxa"/>
          </w:tcPr>
          <w:p w14:paraId="06390047">
            <w:pPr>
              <w:keepNext w:val="0"/>
              <w:keepLines w:val="0"/>
              <w:pageBreakBefore w:val="0"/>
              <w:suppressLineNumbers w:val="0"/>
              <w:kinsoku/>
              <w:overflowPunct/>
              <w:topLinePunct w:val="0"/>
              <w:autoSpaceDE/>
              <w:autoSpaceDN/>
              <w:bidi w:val="0"/>
              <w:adjustRightInd/>
              <w:spacing w:before="0" w:beforeAutospacing="0" w:after="0" w:afterAutospacing="0" w:line="380" w:lineRule="exact"/>
              <w:ind w:left="0" w:right="0" w:firstLine="210" w:firstLineChars="100"/>
              <w:textAlignment w:val="auto"/>
              <w:rPr>
                <w:rFonts w:hint="default" w:ascii="宋体" w:hAnsi="宋体"/>
                <w:szCs w:val="21"/>
                <w:highlight w:val="none"/>
              </w:rPr>
            </w:pPr>
            <w:r>
              <w:rPr>
                <w:rFonts w:hint="eastAsia" w:ascii="宋体" w:hAnsi="宋体" w:cs="宋体"/>
                <w:kern w:val="0"/>
                <w:szCs w:val="21"/>
                <w:highlight w:val="none"/>
              </w:rPr>
              <w:t>1.5%</w:t>
            </w:r>
          </w:p>
        </w:tc>
        <w:tc>
          <w:tcPr>
            <w:tcW w:w="1659" w:type="dxa"/>
          </w:tcPr>
          <w:p w14:paraId="7D64AFCC">
            <w:pPr>
              <w:keepNext w:val="0"/>
              <w:keepLines w:val="0"/>
              <w:pageBreakBefore w:val="0"/>
              <w:suppressLineNumbers w:val="0"/>
              <w:kinsoku/>
              <w:overflowPunct/>
              <w:topLinePunct w:val="0"/>
              <w:autoSpaceDE/>
              <w:autoSpaceDN/>
              <w:bidi w:val="0"/>
              <w:adjustRightInd/>
              <w:spacing w:before="0" w:beforeAutospacing="0" w:after="0" w:afterAutospacing="0" w:line="380" w:lineRule="exact"/>
              <w:ind w:left="0" w:right="0" w:firstLine="210" w:firstLineChars="100"/>
              <w:textAlignment w:val="auto"/>
              <w:rPr>
                <w:rFonts w:hint="default" w:ascii="宋体" w:hAnsi="宋体"/>
                <w:szCs w:val="21"/>
                <w:highlight w:val="none"/>
              </w:rPr>
            </w:pPr>
            <w:r>
              <w:rPr>
                <w:rFonts w:hint="eastAsia" w:ascii="宋体" w:hAnsi="宋体" w:cs="宋体"/>
                <w:kern w:val="0"/>
                <w:szCs w:val="21"/>
                <w:highlight w:val="none"/>
              </w:rPr>
              <w:t xml:space="preserve">1.0% </w:t>
            </w:r>
          </w:p>
        </w:tc>
      </w:tr>
      <w:tr w14:paraId="31FF1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31AB3686">
            <w:pPr>
              <w:keepNext w:val="0"/>
              <w:keepLines w:val="0"/>
              <w:pageBreakBefore w:val="0"/>
              <w:suppressLineNumbers w:val="0"/>
              <w:kinsoku/>
              <w:overflowPunct/>
              <w:topLinePunct w:val="0"/>
              <w:autoSpaceDE/>
              <w:autoSpaceDN/>
              <w:bidi w:val="0"/>
              <w:adjustRightInd/>
              <w:spacing w:before="0" w:beforeAutospacing="0" w:after="0" w:afterAutospacing="0" w:line="380" w:lineRule="exact"/>
              <w:ind w:left="0" w:right="0"/>
              <w:textAlignment w:val="auto"/>
              <w:rPr>
                <w:rFonts w:hint="default" w:ascii="宋体" w:hAnsi="宋体"/>
                <w:szCs w:val="21"/>
                <w:highlight w:val="none"/>
              </w:rPr>
            </w:pPr>
            <w:r>
              <w:rPr>
                <w:rFonts w:hint="eastAsia" w:ascii="宋体" w:hAnsi="宋体"/>
                <w:szCs w:val="21"/>
                <w:highlight w:val="none"/>
              </w:rPr>
              <w:t>100～500万元</w:t>
            </w:r>
          </w:p>
        </w:tc>
        <w:tc>
          <w:tcPr>
            <w:tcW w:w="1659" w:type="dxa"/>
          </w:tcPr>
          <w:p w14:paraId="12D9A362">
            <w:pPr>
              <w:keepNext w:val="0"/>
              <w:keepLines w:val="0"/>
              <w:pageBreakBefore w:val="0"/>
              <w:suppressLineNumbers w:val="0"/>
              <w:kinsoku/>
              <w:overflowPunct/>
              <w:topLinePunct w:val="0"/>
              <w:autoSpaceDE/>
              <w:autoSpaceDN/>
              <w:bidi w:val="0"/>
              <w:adjustRightInd/>
              <w:spacing w:before="0" w:beforeAutospacing="0" w:after="0" w:afterAutospacing="0" w:line="380" w:lineRule="exact"/>
              <w:ind w:left="0" w:right="0" w:firstLine="210" w:firstLineChars="100"/>
              <w:textAlignment w:val="auto"/>
              <w:rPr>
                <w:rFonts w:hint="default" w:ascii="宋体" w:hAnsi="宋体"/>
                <w:szCs w:val="21"/>
                <w:highlight w:val="none"/>
              </w:rPr>
            </w:pPr>
            <w:r>
              <w:rPr>
                <w:rFonts w:hint="eastAsia" w:ascii="宋体" w:hAnsi="宋体" w:cs="宋体"/>
                <w:kern w:val="0"/>
                <w:szCs w:val="21"/>
                <w:highlight w:val="none"/>
              </w:rPr>
              <w:t xml:space="preserve">1.1%                 </w:t>
            </w:r>
          </w:p>
        </w:tc>
        <w:tc>
          <w:tcPr>
            <w:tcW w:w="1687" w:type="dxa"/>
          </w:tcPr>
          <w:p w14:paraId="6BAF9832">
            <w:pPr>
              <w:keepNext w:val="0"/>
              <w:keepLines w:val="0"/>
              <w:pageBreakBefore w:val="0"/>
              <w:suppressLineNumbers w:val="0"/>
              <w:kinsoku/>
              <w:overflowPunct/>
              <w:topLinePunct w:val="0"/>
              <w:autoSpaceDE/>
              <w:autoSpaceDN/>
              <w:bidi w:val="0"/>
              <w:adjustRightInd/>
              <w:spacing w:before="0" w:beforeAutospacing="0" w:after="0" w:afterAutospacing="0" w:line="380" w:lineRule="exact"/>
              <w:ind w:left="0" w:right="0" w:firstLine="210" w:firstLineChars="100"/>
              <w:textAlignment w:val="auto"/>
              <w:rPr>
                <w:rFonts w:hint="default" w:ascii="宋体" w:hAnsi="宋体"/>
                <w:szCs w:val="21"/>
                <w:highlight w:val="none"/>
              </w:rPr>
            </w:pPr>
            <w:r>
              <w:rPr>
                <w:rFonts w:hint="eastAsia" w:ascii="宋体" w:hAnsi="宋体" w:cs="宋体"/>
                <w:kern w:val="0"/>
                <w:szCs w:val="21"/>
                <w:highlight w:val="none"/>
              </w:rPr>
              <w:t>0.8%</w:t>
            </w:r>
          </w:p>
        </w:tc>
        <w:tc>
          <w:tcPr>
            <w:tcW w:w="1659" w:type="dxa"/>
          </w:tcPr>
          <w:p w14:paraId="16967A7E">
            <w:pPr>
              <w:keepNext w:val="0"/>
              <w:keepLines w:val="0"/>
              <w:pageBreakBefore w:val="0"/>
              <w:suppressLineNumbers w:val="0"/>
              <w:kinsoku/>
              <w:overflowPunct/>
              <w:topLinePunct w:val="0"/>
              <w:autoSpaceDE/>
              <w:autoSpaceDN/>
              <w:bidi w:val="0"/>
              <w:adjustRightInd/>
              <w:spacing w:before="0" w:beforeAutospacing="0" w:after="0" w:afterAutospacing="0" w:line="380" w:lineRule="exact"/>
              <w:ind w:left="0" w:right="0" w:firstLine="210" w:firstLineChars="100"/>
              <w:textAlignment w:val="auto"/>
              <w:rPr>
                <w:rFonts w:hint="default" w:ascii="宋体" w:hAnsi="宋体"/>
                <w:szCs w:val="21"/>
                <w:highlight w:val="none"/>
              </w:rPr>
            </w:pPr>
            <w:r>
              <w:rPr>
                <w:rFonts w:hint="eastAsia" w:ascii="宋体" w:hAnsi="宋体" w:cs="宋体"/>
                <w:kern w:val="0"/>
                <w:szCs w:val="21"/>
                <w:highlight w:val="none"/>
              </w:rPr>
              <w:t xml:space="preserve">0.7% </w:t>
            </w:r>
          </w:p>
        </w:tc>
      </w:tr>
      <w:tr w14:paraId="43564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639ED505">
            <w:pPr>
              <w:keepNext w:val="0"/>
              <w:keepLines w:val="0"/>
              <w:pageBreakBefore w:val="0"/>
              <w:suppressLineNumbers w:val="0"/>
              <w:kinsoku/>
              <w:overflowPunct/>
              <w:topLinePunct w:val="0"/>
              <w:autoSpaceDE/>
              <w:autoSpaceDN/>
              <w:bidi w:val="0"/>
              <w:adjustRightInd/>
              <w:spacing w:before="0" w:beforeAutospacing="0" w:after="0" w:afterAutospacing="0" w:line="380" w:lineRule="exact"/>
              <w:ind w:left="0" w:right="0"/>
              <w:textAlignment w:val="auto"/>
              <w:rPr>
                <w:rFonts w:hint="default" w:ascii="宋体" w:hAnsi="宋体"/>
                <w:szCs w:val="21"/>
                <w:highlight w:val="none"/>
              </w:rPr>
            </w:pPr>
            <w:r>
              <w:rPr>
                <w:rFonts w:hint="eastAsia" w:ascii="宋体" w:hAnsi="宋体"/>
                <w:szCs w:val="21"/>
                <w:highlight w:val="none"/>
              </w:rPr>
              <w:t>500～1000万元</w:t>
            </w:r>
          </w:p>
        </w:tc>
        <w:tc>
          <w:tcPr>
            <w:tcW w:w="1659" w:type="dxa"/>
          </w:tcPr>
          <w:p w14:paraId="20570C8D">
            <w:pPr>
              <w:keepNext w:val="0"/>
              <w:keepLines w:val="0"/>
              <w:pageBreakBefore w:val="0"/>
              <w:suppressLineNumbers w:val="0"/>
              <w:kinsoku/>
              <w:overflowPunct/>
              <w:topLinePunct w:val="0"/>
              <w:autoSpaceDE/>
              <w:autoSpaceDN/>
              <w:bidi w:val="0"/>
              <w:adjustRightInd/>
              <w:spacing w:before="0" w:beforeAutospacing="0" w:after="0" w:afterAutospacing="0" w:line="380" w:lineRule="exact"/>
              <w:ind w:left="0" w:right="0"/>
              <w:textAlignment w:val="auto"/>
              <w:rPr>
                <w:rFonts w:hint="default" w:ascii="宋体" w:hAnsi="宋体"/>
                <w:szCs w:val="21"/>
                <w:highlight w:val="none"/>
              </w:rPr>
            </w:pPr>
            <w:r>
              <w:rPr>
                <w:rFonts w:hint="eastAsia" w:ascii="宋体" w:hAnsi="宋体" w:cs="宋体"/>
                <w:kern w:val="0"/>
                <w:szCs w:val="21"/>
                <w:highlight w:val="none"/>
              </w:rPr>
              <w:t xml:space="preserve">  0.8%                </w:t>
            </w:r>
          </w:p>
        </w:tc>
        <w:tc>
          <w:tcPr>
            <w:tcW w:w="1687" w:type="dxa"/>
          </w:tcPr>
          <w:p w14:paraId="0F4832E2">
            <w:pPr>
              <w:keepNext w:val="0"/>
              <w:keepLines w:val="0"/>
              <w:pageBreakBefore w:val="0"/>
              <w:suppressLineNumbers w:val="0"/>
              <w:kinsoku/>
              <w:overflowPunct/>
              <w:topLinePunct w:val="0"/>
              <w:autoSpaceDE/>
              <w:autoSpaceDN/>
              <w:bidi w:val="0"/>
              <w:adjustRightInd/>
              <w:spacing w:before="0" w:beforeAutospacing="0" w:after="0" w:afterAutospacing="0" w:line="380" w:lineRule="exact"/>
              <w:ind w:left="0" w:right="0" w:firstLine="210" w:firstLineChars="100"/>
              <w:textAlignment w:val="auto"/>
              <w:rPr>
                <w:rFonts w:hint="default" w:ascii="宋体" w:hAnsi="宋体"/>
                <w:szCs w:val="21"/>
                <w:highlight w:val="none"/>
              </w:rPr>
            </w:pPr>
            <w:r>
              <w:rPr>
                <w:rFonts w:hint="eastAsia" w:ascii="宋体" w:hAnsi="宋体" w:cs="宋体"/>
                <w:kern w:val="0"/>
                <w:szCs w:val="21"/>
                <w:highlight w:val="none"/>
              </w:rPr>
              <w:t>0.45%</w:t>
            </w:r>
          </w:p>
        </w:tc>
        <w:tc>
          <w:tcPr>
            <w:tcW w:w="1659" w:type="dxa"/>
          </w:tcPr>
          <w:p w14:paraId="4151B399">
            <w:pPr>
              <w:keepNext w:val="0"/>
              <w:keepLines w:val="0"/>
              <w:pageBreakBefore w:val="0"/>
              <w:suppressLineNumbers w:val="0"/>
              <w:kinsoku/>
              <w:overflowPunct/>
              <w:topLinePunct w:val="0"/>
              <w:autoSpaceDE/>
              <w:autoSpaceDN/>
              <w:bidi w:val="0"/>
              <w:adjustRightInd/>
              <w:spacing w:before="0" w:beforeAutospacing="0" w:after="0" w:afterAutospacing="0" w:line="380" w:lineRule="exact"/>
              <w:ind w:left="0" w:right="0" w:firstLine="210" w:firstLineChars="100"/>
              <w:textAlignment w:val="auto"/>
              <w:rPr>
                <w:rFonts w:hint="default" w:ascii="宋体" w:hAnsi="宋体"/>
                <w:szCs w:val="21"/>
                <w:highlight w:val="none"/>
              </w:rPr>
            </w:pPr>
            <w:r>
              <w:rPr>
                <w:rFonts w:hint="eastAsia" w:ascii="宋体" w:hAnsi="宋体" w:cs="宋体"/>
                <w:kern w:val="0"/>
                <w:szCs w:val="21"/>
                <w:highlight w:val="none"/>
              </w:rPr>
              <w:t>0.55%</w:t>
            </w:r>
          </w:p>
        </w:tc>
      </w:tr>
      <w:tr w14:paraId="23FF6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51A6D52A">
            <w:pPr>
              <w:keepNext w:val="0"/>
              <w:keepLines w:val="0"/>
              <w:pageBreakBefore w:val="0"/>
              <w:suppressLineNumbers w:val="0"/>
              <w:kinsoku/>
              <w:overflowPunct/>
              <w:topLinePunct w:val="0"/>
              <w:autoSpaceDE/>
              <w:autoSpaceDN/>
              <w:bidi w:val="0"/>
              <w:adjustRightInd/>
              <w:spacing w:before="0" w:beforeAutospacing="0" w:after="0" w:afterAutospacing="0" w:line="380" w:lineRule="exact"/>
              <w:ind w:left="0" w:right="0"/>
              <w:textAlignment w:val="auto"/>
              <w:rPr>
                <w:rFonts w:hint="default" w:ascii="宋体" w:hAnsi="宋体"/>
                <w:szCs w:val="21"/>
                <w:highlight w:val="none"/>
              </w:rPr>
            </w:pPr>
            <w:r>
              <w:rPr>
                <w:rFonts w:hint="eastAsia" w:ascii="宋体" w:hAnsi="宋体"/>
                <w:szCs w:val="21"/>
                <w:highlight w:val="none"/>
              </w:rPr>
              <w:t>1000～5000万元</w:t>
            </w:r>
          </w:p>
        </w:tc>
        <w:tc>
          <w:tcPr>
            <w:tcW w:w="1659" w:type="dxa"/>
          </w:tcPr>
          <w:p w14:paraId="6A3B3AC0">
            <w:pPr>
              <w:keepNext w:val="0"/>
              <w:keepLines w:val="0"/>
              <w:pageBreakBefore w:val="0"/>
              <w:suppressLineNumbers w:val="0"/>
              <w:kinsoku/>
              <w:overflowPunct/>
              <w:topLinePunct w:val="0"/>
              <w:autoSpaceDE/>
              <w:autoSpaceDN/>
              <w:bidi w:val="0"/>
              <w:adjustRightInd/>
              <w:spacing w:before="0" w:beforeAutospacing="0" w:after="0" w:afterAutospacing="0" w:line="380" w:lineRule="exact"/>
              <w:ind w:left="0" w:right="0" w:firstLine="210" w:firstLineChars="100"/>
              <w:textAlignment w:val="auto"/>
              <w:rPr>
                <w:rFonts w:hint="default" w:ascii="宋体" w:hAnsi="宋体"/>
                <w:szCs w:val="21"/>
                <w:highlight w:val="none"/>
              </w:rPr>
            </w:pPr>
            <w:r>
              <w:rPr>
                <w:rFonts w:hint="eastAsia" w:ascii="宋体" w:hAnsi="宋体" w:cs="宋体"/>
                <w:kern w:val="0"/>
                <w:szCs w:val="21"/>
                <w:highlight w:val="none"/>
              </w:rPr>
              <w:t xml:space="preserve">0.5%                </w:t>
            </w:r>
          </w:p>
        </w:tc>
        <w:tc>
          <w:tcPr>
            <w:tcW w:w="1687" w:type="dxa"/>
          </w:tcPr>
          <w:p w14:paraId="1D67205C">
            <w:pPr>
              <w:keepNext w:val="0"/>
              <w:keepLines w:val="0"/>
              <w:pageBreakBefore w:val="0"/>
              <w:suppressLineNumbers w:val="0"/>
              <w:kinsoku/>
              <w:overflowPunct/>
              <w:topLinePunct w:val="0"/>
              <w:autoSpaceDE/>
              <w:autoSpaceDN/>
              <w:bidi w:val="0"/>
              <w:adjustRightInd/>
              <w:spacing w:before="0" w:beforeAutospacing="0" w:after="0" w:afterAutospacing="0" w:line="380" w:lineRule="exact"/>
              <w:ind w:left="0" w:right="0" w:firstLine="210" w:firstLineChars="100"/>
              <w:textAlignment w:val="auto"/>
              <w:rPr>
                <w:rFonts w:hint="default" w:ascii="宋体" w:hAnsi="宋体"/>
                <w:szCs w:val="21"/>
                <w:highlight w:val="none"/>
              </w:rPr>
            </w:pPr>
            <w:r>
              <w:rPr>
                <w:rFonts w:hint="eastAsia" w:ascii="宋体" w:hAnsi="宋体" w:cs="宋体"/>
                <w:kern w:val="0"/>
                <w:szCs w:val="21"/>
                <w:highlight w:val="none"/>
              </w:rPr>
              <w:t>0.25%</w:t>
            </w:r>
          </w:p>
        </w:tc>
        <w:tc>
          <w:tcPr>
            <w:tcW w:w="1659" w:type="dxa"/>
          </w:tcPr>
          <w:p w14:paraId="7A605EDE">
            <w:pPr>
              <w:keepNext w:val="0"/>
              <w:keepLines w:val="0"/>
              <w:pageBreakBefore w:val="0"/>
              <w:suppressLineNumbers w:val="0"/>
              <w:kinsoku/>
              <w:overflowPunct/>
              <w:topLinePunct w:val="0"/>
              <w:autoSpaceDE/>
              <w:autoSpaceDN/>
              <w:bidi w:val="0"/>
              <w:adjustRightInd/>
              <w:spacing w:before="0" w:beforeAutospacing="0" w:after="0" w:afterAutospacing="0" w:line="380" w:lineRule="exact"/>
              <w:ind w:left="0" w:right="0" w:firstLine="210" w:firstLineChars="100"/>
              <w:textAlignment w:val="auto"/>
              <w:rPr>
                <w:rFonts w:hint="default" w:ascii="宋体" w:hAnsi="宋体"/>
                <w:szCs w:val="21"/>
                <w:highlight w:val="none"/>
              </w:rPr>
            </w:pPr>
            <w:r>
              <w:rPr>
                <w:rFonts w:hint="eastAsia" w:ascii="宋体" w:hAnsi="宋体" w:cs="宋体"/>
                <w:kern w:val="0"/>
                <w:szCs w:val="21"/>
                <w:highlight w:val="none"/>
              </w:rPr>
              <w:t xml:space="preserve">0.35% </w:t>
            </w:r>
          </w:p>
        </w:tc>
      </w:tr>
      <w:tr w14:paraId="6973C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09FD4E5">
            <w:pPr>
              <w:keepNext w:val="0"/>
              <w:keepLines w:val="0"/>
              <w:pageBreakBefore w:val="0"/>
              <w:suppressLineNumbers w:val="0"/>
              <w:kinsoku/>
              <w:overflowPunct/>
              <w:topLinePunct w:val="0"/>
              <w:autoSpaceDE/>
              <w:autoSpaceDN/>
              <w:bidi w:val="0"/>
              <w:adjustRightInd/>
              <w:spacing w:before="0" w:beforeAutospacing="0" w:after="0" w:afterAutospacing="0" w:line="380" w:lineRule="exact"/>
              <w:ind w:left="0" w:right="0"/>
              <w:textAlignment w:val="auto"/>
              <w:rPr>
                <w:rFonts w:hint="default" w:ascii="宋体" w:hAnsi="宋体"/>
                <w:szCs w:val="21"/>
                <w:highlight w:val="none"/>
              </w:rPr>
            </w:pPr>
            <w:r>
              <w:rPr>
                <w:rFonts w:hint="eastAsia" w:ascii="宋体" w:hAnsi="宋体"/>
                <w:szCs w:val="21"/>
                <w:highlight w:val="none"/>
              </w:rPr>
              <w:t>5000万元～1亿元</w:t>
            </w:r>
          </w:p>
        </w:tc>
        <w:tc>
          <w:tcPr>
            <w:tcW w:w="1659" w:type="dxa"/>
          </w:tcPr>
          <w:p w14:paraId="2041B7D9">
            <w:pPr>
              <w:keepNext w:val="0"/>
              <w:keepLines w:val="0"/>
              <w:pageBreakBefore w:val="0"/>
              <w:suppressLineNumbers w:val="0"/>
              <w:kinsoku/>
              <w:overflowPunct/>
              <w:topLinePunct w:val="0"/>
              <w:autoSpaceDE/>
              <w:autoSpaceDN/>
              <w:bidi w:val="0"/>
              <w:adjustRightInd/>
              <w:spacing w:before="0" w:beforeAutospacing="0" w:after="0" w:afterAutospacing="0" w:line="380" w:lineRule="exact"/>
              <w:ind w:left="0" w:right="0" w:firstLine="210" w:firstLineChars="100"/>
              <w:textAlignment w:val="auto"/>
              <w:rPr>
                <w:rFonts w:hint="default" w:ascii="宋体" w:hAnsi="宋体"/>
                <w:szCs w:val="21"/>
                <w:highlight w:val="none"/>
              </w:rPr>
            </w:pPr>
            <w:r>
              <w:rPr>
                <w:rFonts w:hint="eastAsia" w:ascii="宋体" w:hAnsi="宋体" w:cs="宋体"/>
                <w:kern w:val="0"/>
                <w:szCs w:val="21"/>
                <w:highlight w:val="none"/>
              </w:rPr>
              <w:t xml:space="preserve">0.25%                 </w:t>
            </w:r>
          </w:p>
        </w:tc>
        <w:tc>
          <w:tcPr>
            <w:tcW w:w="1687" w:type="dxa"/>
          </w:tcPr>
          <w:p w14:paraId="3728C604">
            <w:pPr>
              <w:keepNext w:val="0"/>
              <w:keepLines w:val="0"/>
              <w:pageBreakBefore w:val="0"/>
              <w:suppressLineNumbers w:val="0"/>
              <w:kinsoku/>
              <w:overflowPunct/>
              <w:topLinePunct w:val="0"/>
              <w:autoSpaceDE/>
              <w:autoSpaceDN/>
              <w:bidi w:val="0"/>
              <w:adjustRightInd/>
              <w:spacing w:before="0" w:beforeAutospacing="0" w:after="0" w:afterAutospacing="0" w:line="380" w:lineRule="exact"/>
              <w:ind w:left="0" w:right="0" w:firstLine="210" w:firstLineChars="100"/>
              <w:textAlignment w:val="auto"/>
              <w:rPr>
                <w:rFonts w:hint="default" w:ascii="宋体" w:hAnsi="宋体"/>
                <w:szCs w:val="21"/>
                <w:highlight w:val="none"/>
              </w:rPr>
            </w:pPr>
            <w:r>
              <w:rPr>
                <w:rFonts w:hint="eastAsia" w:ascii="宋体" w:hAnsi="宋体" w:cs="宋体"/>
                <w:kern w:val="0"/>
                <w:szCs w:val="21"/>
                <w:highlight w:val="none"/>
              </w:rPr>
              <w:t>0.1%</w:t>
            </w:r>
          </w:p>
        </w:tc>
        <w:tc>
          <w:tcPr>
            <w:tcW w:w="1659" w:type="dxa"/>
          </w:tcPr>
          <w:p w14:paraId="1D6EA785">
            <w:pPr>
              <w:keepNext w:val="0"/>
              <w:keepLines w:val="0"/>
              <w:pageBreakBefore w:val="0"/>
              <w:suppressLineNumbers w:val="0"/>
              <w:kinsoku/>
              <w:overflowPunct/>
              <w:topLinePunct w:val="0"/>
              <w:autoSpaceDE/>
              <w:autoSpaceDN/>
              <w:bidi w:val="0"/>
              <w:adjustRightInd/>
              <w:spacing w:before="0" w:beforeAutospacing="0" w:after="0" w:afterAutospacing="0" w:line="380" w:lineRule="exact"/>
              <w:ind w:left="0" w:right="0" w:firstLine="210" w:firstLineChars="100"/>
              <w:textAlignment w:val="auto"/>
              <w:rPr>
                <w:rFonts w:hint="default" w:ascii="宋体" w:hAnsi="宋体"/>
                <w:szCs w:val="21"/>
                <w:highlight w:val="none"/>
              </w:rPr>
            </w:pPr>
            <w:r>
              <w:rPr>
                <w:rFonts w:hint="eastAsia" w:ascii="宋体" w:hAnsi="宋体" w:cs="宋体"/>
                <w:kern w:val="0"/>
                <w:szCs w:val="21"/>
                <w:highlight w:val="none"/>
              </w:rPr>
              <w:t>0.2%</w:t>
            </w:r>
          </w:p>
        </w:tc>
      </w:tr>
      <w:tr w14:paraId="090B7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1669C1D8">
            <w:pPr>
              <w:keepNext w:val="0"/>
              <w:keepLines w:val="0"/>
              <w:pageBreakBefore w:val="0"/>
              <w:suppressLineNumbers w:val="0"/>
              <w:kinsoku/>
              <w:overflowPunct/>
              <w:topLinePunct w:val="0"/>
              <w:autoSpaceDE/>
              <w:autoSpaceDN/>
              <w:bidi w:val="0"/>
              <w:adjustRightInd/>
              <w:spacing w:before="0" w:beforeAutospacing="0" w:after="0" w:afterAutospacing="0" w:line="380" w:lineRule="exact"/>
              <w:ind w:left="0" w:right="0"/>
              <w:textAlignment w:val="auto"/>
              <w:rPr>
                <w:rFonts w:hint="default" w:ascii="宋体" w:hAnsi="宋体"/>
                <w:szCs w:val="21"/>
                <w:highlight w:val="none"/>
              </w:rPr>
            </w:pPr>
            <w:r>
              <w:rPr>
                <w:rFonts w:hint="eastAsia" w:ascii="宋体" w:hAnsi="宋体"/>
                <w:szCs w:val="21"/>
                <w:highlight w:val="none"/>
              </w:rPr>
              <w:t>1～5亿元</w:t>
            </w:r>
          </w:p>
        </w:tc>
        <w:tc>
          <w:tcPr>
            <w:tcW w:w="1659" w:type="dxa"/>
          </w:tcPr>
          <w:p w14:paraId="74735AD9">
            <w:pPr>
              <w:keepNext w:val="0"/>
              <w:keepLines w:val="0"/>
              <w:pageBreakBefore w:val="0"/>
              <w:suppressLineNumbers w:val="0"/>
              <w:kinsoku/>
              <w:overflowPunct/>
              <w:topLinePunct w:val="0"/>
              <w:autoSpaceDE/>
              <w:autoSpaceDN/>
              <w:bidi w:val="0"/>
              <w:adjustRightInd/>
              <w:spacing w:before="0" w:beforeAutospacing="0" w:after="0" w:afterAutospacing="0" w:line="380" w:lineRule="exact"/>
              <w:ind w:left="0" w:right="0" w:firstLine="210" w:firstLineChars="100"/>
              <w:textAlignment w:val="auto"/>
              <w:rPr>
                <w:rFonts w:hint="default" w:ascii="宋体" w:hAnsi="宋体"/>
                <w:szCs w:val="21"/>
                <w:highlight w:val="none"/>
              </w:rPr>
            </w:pPr>
            <w:r>
              <w:rPr>
                <w:rFonts w:hint="eastAsia" w:ascii="宋体" w:hAnsi="宋体"/>
                <w:szCs w:val="21"/>
                <w:highlight w:val="none"/>
              </w:rPr>
              <w:t>0.05%</w:t>
            </w:r>
          </w:p>
        </w:tc>
        <w:tc>
          <w:tcPr>
            <w:tcW w:w="1687" w:type="dxa"/>
          </w:tcPr>
          <w:p w14:paraId="2B7D4842">
            <w:pPr>
              <w:keepNext w:val="0"/>
              <w:keepLines w:val="0"/>
              <w:pageBreakBefore w:val="0"/>
              <w:suppressLineNumbers w:val="0"/>
              <w:kinsoku/>
              <w:overflowPunct/>
              <w:topLinePunct w:val="0"/>
              <w:autoSpaceDE/>
              <w:autoSpaceDN/>
              <w:bidi w:val="0"/>
              <w:adjustRightInd/>
              <w:spacing w:before="0" w:beforeAutospacing="0" w:after="0" w:afterAutospacing="0" w:line="380" w:lineRule="exact"/>
              <w:ind w:left="0" w:right="0"/>
              <w:textAlignment w:val="auto"/>
              <w:rPr>
                <w:rFonts w:hint="default" w:ascii="宋体" w:hAnsi="宋体"/>
                <w:szCs w:val="21"/>
                <w:highlight w:val="none"/>
              </w:rPr>
            </w:pPr>
            <w:r>
              <w:rPr>
                <w:rFonts w:hint="eastAsia" w:ascii="宋体" w:hAnsi="宋体"/>
                <w:szCs w:val="21"/>
                <w:highlight w:val="none"/>
              </w:rPr>
              <w:t xml:space="preserve">  0.05%</w:t>
            </w:r>
          </w:p>
        </w:tc>
        <w:tc>
          <w:tcPr>
            <w:tcW w:w="1659" w:type="dxa"/>
          </w:tcPr>
          <w:p w14:paraId="0DBD22B7">
            <w:pPr>
              <w:keepNext w:val="0"/>
              <w:keepLines w:val="0"/>
              <w:pageBreakBefore w:val="0"/>
              <w:suppressLineNumbers w:val="0"/>
              <w:kinsoku/>
              <w:overflowPunct/>
              <w:topLinePunct w:val="0"/>
              <w:autoSpaceDE/>
              <w:autoSpaceDN/>
              <w:bidi w:val="0"/>
              <w:adjustRightInd/>
              <w:spacing w:before="0" w:beforeAutospacing="0" w:after="0" w:afterAutospacing="0" w:line="380" w:lineRule="exact"/>
              <w:ind w:left="0" w:right="0"/>
              <w:textAlignment w:val="auto"/>
              <w:rPr>
                <w:rFonts w:hint="default" w:ascii="宋体" w:hAnsi="宋体"/>
                <w:szCs w:val="21"/>
                <w:highlight w:val="none"/>
              </w:rPr>
            </w:pPr>
            <w:r>
              <w:rPr>
                <w:rFonts w:hint="eastAsia" w:ascii="宋体" w:hAnsi="宋体"/>
                <w:szCs w:val="21"/>
                <w:highlight w:val="none"/>
              </w:rPr>
              <w:t xml:space="preserve">  0.05%</w:t>
            </w:r>
          </w:p>
        </w:tc>
      </w:tr>
      <w:tr w14:paraId="7E6D7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5B14C2A7">
            <w:pPr>
              <w:keepNext w:val="0"/>
              <w:keepLines w:val="0"/>
              <w:pageBreakBefore w:val="0"/>
              <w:suppressLineNumbers w:val="0"/>
              <w:kinsoku/>
              <w:overflowPunct/>
              <w:topLinePunct w:val="0"/>
              <w:autoSpaceDE/>
              <w:autoSpaceDN/>
              <w:bidi w:val="0"/>
              <w:adjustRightInd/>
              <w:spacing w:before="0" w:beforeAutospacing="0" w:after="0" w:afterAutospacing="0" w:line="380" w:lineRule="exact"/>
              <w:ind w:left="0" w:right="0"/>
              <w:textAlignment w:val="auto"/>
              <w:rPr>
                <w:rFonts w:hint="default" w:ascii="宋体" w:hAnsi="宋体"/>
                <w:szCs w:val="21"/>
                <w:highlight w:val="none"/>
              </w:rPr>
            </w:pPr>
            <w:r>
              <w:rPr>
                <w:rFonts w:hint="eastAsia" w:ascii="宋体" w:hAnsi="宋体"/>
                <w:szCs w:val="21"/>
                <w:highlight w:val="none"/>
              </w:rPr>
              <w:t>5～10亿元</w:t>
            </w:r>
          </w:p>
        </w:tc>
        <w:tc>
          <w:tcPr>
            <w:tcW w:w="1659" w:type="dxa"/>
          </w:tcPr>
          <w:p w14:paraId="15C097AF">
            <w:pPr>
              <w:keepNext w:val="0"/>
              <w:keepLines w:val="0"/>
              <w:pageBreakBefore w:val="0"/>
              <w:suppressLineNumbers w:val="0"/>
              <w:kinsoku/>
              <w:overflowPunct/>
              <w:topLinePunct w:val="0"/>
              <w:autoSpaceDE/>
              <w:autoSpaceDN/>
              <w:bidi w:val="0"/>
              <w:adjustRightInd/>
              <w:spacing w:before="0" w:beforeAutospacing="0" w:after="0" w:afterAutospacing="0" w:line="380" w:lineRule="exact"/>
              <w:ind w:left="0" w:right="0" w:firstLine="105" w:firstLineChars="50"/>
              <w:textAlignment w:val="auto"/>
              <w:rPr>
                <w:rFonts w:hint="default" w:ascii="宋体" w:hAnsi="宋体"/>
                <w:szCs w:val="21"/>
                <w:highlight w:val="none"/>
              </w:rPr>
            </w:pPr>
            <w:r>
              <w:rPr>
                <w:rFonts w:hint="eastAsia" w:ascii="宋体" w:hAnsi="宋体"/>
                <w:szCs w:val="21"/>
                <w:highlight w:val="none"/>
              </w:rPr>
              <w:t>0.035%</w:t>
            </w:r>
          </w:p>
        </w:tc>
        <w:tc>
          <w:tcPr>
            <w:tcW w:w="1687" w:type="dxa"/>
          </w:tcPr>
          <w:p w14:paraId="6090248E">
            <w:pPr>
              <w:keepNext w:val="0"/>
              <w:keepLines w:val="0"/>
              <w:pageBreakBefore w:val="0"/>
              <w:suppressLineNumbers w:val="0"/>
              <w:kinsoku/>
              <w:overflowPunct/>
              <w:topLinePunct w:val="0"/>
              <w:autoSpaceDE/>
              <w:autoSpaceDN/>
              <w:bidi w:val="0"/>
              <w:adjustRightInd/>
              <w:spacing w:before="0" w:beforeAutospacing="0" w:after="0" w:afterAutospacing="0" w:line="380" w:lineRule="exact"/>
              <w:ind w:left="0" w:right="0"/>
              <w:textAlignment w:val="auto"/>
              <w:rPr>
                <w:rFonts w:hint="default" w:ascii="宋体" w:hAnsi="宋体"/>
                <w:szCs w:val="21"/>
                <w:highlight w:val="none"/>
              </w:rPr>
            </w:pPr>
            <w:r>
              <w:rPr>
                <w:rFonts w:hint="eastAsia" w:ascii="宋体" w:hAnsi="宋体"/>
                <w:szCs w:val="21"/>
                <w:highlight w:val="none"/>
              </w:rPr>
              <w:t xml:space="preserve">  0.035%</w:t>
            </w:r>
          </w:p>
        </w:tc>
        <w:tc>
          <w:tcPr>
            <w:tcW w:w="1659" w:type="dxa"/>
          </w:tcPr>
          <w:p w14:paraId="799BE3ED">
            <w:pPr>
              <w:keepNext w:val="0"/>
              <w:keepLines w:val="0"/>
              <w:pageBreakBefore w:val="0"/>
              <w:suppressLineNumbers w:val="0"/>
              <w:kinsoku/>
              <w:overflowPunct/>
              <w:topLinePunct w:val="0"/>
              <w:autoSpaceDE/>
              <w:autoSpaceDN/>
              <w:bidi w:val="0"/>
              <w:adjustRightInd/>
              <w:spacing w:before="0" w:beforeAutospacing="0" w:after="0" w:afterAutospacing="0" w:line="380" w:lineRule="exact"/>
              <w:ind w:left="0" w:right="0" w:firstLine="105" w:firstLineChars="50"/>
              <w:textAlignment w:val="auto"/>
              <w:rPr>
                <w:rFonts w:hint="default" w:ascii="宋体" w:hAnsi="宋体"/>
                <w:szCs w:val="21"/>
                <w:highlight w:val="none"/>
              </w:rPr>
            </w:pPr>
            <w:r>
              <w:rPr>
                <w:rFonts w:hint="eastAsia" w:ascii="宋体" w:hAnsi="宋体"/>
                <w:szCs w:val="21"/>
                <w:highlight w:val="none"/>
              </w:rPr>
              <w:t>0.035%</w:t>
            </w:r>
          </w:p>
        </w:tc>
      </w:tr>
      <w:tr w14:paraId="13A78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496D6071">
            <w:pPr>
              <w:keepNext w:val="0"/>
              <w:keepLines w:val="0"/>
              <w:pageBreakBefore w:val="0"/>
              <w:suppressLineNumbers w:val="0"/>
              <w:kinsoku/>
              <w:overflowPunct/>
              <w:topLinePunct w:val="0"/>
              <w:autoSpaceDE/>
              <w:autoSpaceDN/>
              <w:bidi w:val="0"/>
              <w:adjustRightInd/>
              <w:spacing w:before="0" w:beforeAutospacing="0" w:after="0" w:afterAutospacing="0" w:line="380" w:lineRule="exact"/>
              <w:ind w:left="0" w:right="0"/>
              <w:textAlignment w:val="auto"/>
              <w:rPr>
                <w:rFonts w:hint="default" w:ascii="宋体" w:hAnsi="宋体"/>
                <w:szCs w:val="21"/>
                <w:highlight w:val="none"/>
              </w:rPr>
            </w:pPr>
            <w:r>
              <w:rPr>
                <w:rFonts w:hint="eastAsia" w:ascii="宋体" w:hAnsi="宋体"/>
                <w:szCs w:val="21"/>
                <w:highlight w:val="none"/>
              </w:rPr>
              <w:t>10～50亿元</w:t>
            </w:r>
          </w:p>
        </w:tc>
        <w:tc>
          <w:tcPr>
            <w:tcW w:w="1659" w:type="dxa"/>
          </w:tcPr>
          <w:p w14:paraId="40826A4B">
            <w:pPr>
              <w:keepNext w:val="0"/>
              <w:keepLines w:val="0"/>
              <w:pageBreakBefore w:val="0"/>
              <w:suppressLineNumbers w:val="0"/>
              <w:kinsoku/>
              <w:overflowPunct/>
              <w:topLinePunct w:val="0"/>
              <w:autoSpaceDE/>
              <w:autoSpaceDN/>
              <w:bidi w:val="0"/>
              <w:adjustRightInd/>
              <w:spacing w:before="0" w:beforeAutospacing="0" w:after="0" w:afterAutospacing="0" w:line="380" w:lineRule="exact"/>
              <w:ind w:left="0" w:right="0" w:firstLine="105" w:firstLineChars="50"/>
              <w:textAlignment w:val="auto"/>
              <w:rPr>
                <w:rFonts w:hint="default" w:ascii="宋体" w:hAnsi="宋体"/>
                <w:szCs w:val="21"/>
                <w:highlight w:val="none"/>
              </w:rPr>
            </w:pPr>
            <w:r>
              <w:rPr>
                <w:rFonts w:hint="eastAsia" w:ascii="宋体" w:hAnsi="宋体"/>
                <w:szCs w:val="21"/>
                <w:highlight w:val="none"/>
              </w:rPr>
              <w:t>0.008%</w:t>
            </w:r>
          </w:p>
        </w:tc>
        <w:tc>
          <w:tcPr>
            <w:tcW w:w="1687" w:type="dxa"/>
          </w:tcPr>
          <w:p w14:paraId="0986796D">
            <w:pPr>
              <w:keepNext w:val="0"/>
              <w:keepLines w:val="0"/>
              <w:pageBreakBefore w:val="0"/>
              <w:suppressLineNumbers w:val="0"/>
              <w:kinsoku/>
              <w:overflowPunct/>
              <w:topLinePunct w:val="0"/>
              <w:autoSpaceDE/>
              <w:autoSpaceDN/>
              <w:bidi w:val="0"/>
              <w:adjustRightInd/>
              <w:spacing w:before="0" w:beforeAutospacing="0" w:after="0" w:afterAutospacing="0" w:line="380" w:lineRule="exact"/>
              <w:ind w:left="0" w:right="0" w:firstLine="210" w:firstLineChars="100"/>
              <w:textAlignment w:val="auto"/>
              <w:rPr>
                <w:rFonts w:hint="default" w:ascii="宋体" w:hAnsi="宋体"/>
                <w:szCs w:val="21"/>
                <w:highlight w:val="none"/>
              </w:rPr>
            </w:pPr>
            <w:r>
              <w:rPr>
                <w:rFonts w:hint="eastAsia" w:ascii="宋体" w:hAnsi="宋体"/>
                <w:szCs w:val="21"/>
                <w:highlight w:val="none"/>
              </w:rPr>
              <w:t>0.008%</w:t>
            </w:r>
          </w:p>
        </w:tc>
        <w:tc>
          <w:tcPr>
            <w:tcW w:w="1659" w:type="dxa"/>
          </w:tcPr>
          <w:p w14:paraId="64B7645A">
            <w:pPr>
              <w:keepNext w:val="0"/>
              <w:keepLines w:val="0"/>
              <w:pageBreakBefore w:val="0"/>
              <w:suppressLineNumbers w:val="0"/>
              <w:kinsoku/>
              <w:overflowPunct/>
              <w:topLinePunct w:val="0"/>
              <w:autoSpaceDE/>
              <w:autoSpaceDN/>
              <w:bidi w:val="0"/>
              <w:adjustRightInd/>
              <w:spacing w:before="0" w:beforeAutospacing="0" w:after="0" w:afterAutospacing="0" w:line="380" w:lineRule="exact"/>
              <w:ind w:left="0" w:right="0" w:firstLine="105" w:firstLineChars="50"/>
              <w:textAlignment w:val="auto"/>
              <w:rPr>
                <w:rFonts w:hint="default" w:ascii="宋体" w:hAnsi="宋体"/>
                <w:szCs w:val="21"/>
                <w:highlight w:val="none"/>
              </w:rPr>
            </w:pPr>
            <w:r>
              <w:rPr>
                <w:rFonts w:hint="eastAsia" w:ascii="宋体" w:hAnsi="宋体"/>
                <w:szCs w:val="21"/>
                <w:highlight w:val="none"/>
              </w:rPr>
              <w:t>0.008%</w:t>
            </w:r>
          </w:p>
        </w:tc>
      </w:tr>
      <w:tr w14:paraId="0EFB8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444969CA">
            <w:pPr>
              <w:keepNext w:val="0"/>
              <w:keepLines w:val="0"/>
              <w:pageBreakBefore w:val="0"/>
              <w:suppressLineNumbers w:val="0"/>
              <w:kinsoku/>
              <w:overflowPunct/>
              <w:topLinePunct w:val="0"/>
              <w:autoSpaceDE/>
              <w:autoSpaceDN/>
              <w:bidi w:val="0"/>
              <w:adjustRightInd/>
              <w:spacing w:before="0" w:beforeAutospacing="0" w:after="0" w:afterAutospacing="0" w:line="380" w:lineRule="exact"/>
              <w:ind w:left="0" w:right="0"/>
              <w:textAlignment w:val="auto"/>
              <w:rPr>
                <w:rFonts w:hint="default" w:ascii="宋体" w:hAnsi="宋体"/>
                <w:szCs w:val="21"/>
                <w:highlight w:val="none"/>
              </w:rPr>
            </w:pPr>
            <w:r>
              <w:rPr>
                <w:rFonts w:hint="eastAsia" w:ascii="宋体" w:hAnsi="宋体"/>
                <w:szCs w:val="21"/>
                <w:highlight w:val="none"/>
              </w:rPr>
              <w:t>50～100亿元</w:t>
            </w:r>
          </w:p>
        </w:tc>
        <w:tc>
          <w:tcPr>
            <w:tcW w:w="1659" w:type="dxa"/>
          </w:tcPr>
          <w:p w14:paraId="70F06116">
            <w:pPr>
              <w:keepNext w:val="0"/>
              <w:keepLines w:val="0"/>
              <w:pageBreakBefore w:val="0"/>
              <w:suppressLineNumbers w:val="0"/>
              <w:kinsoku/>
              <w:overflowPunct/>
              <w:topLinePunct w:val="0"/>
              <w:autoSpaceDE/>
              <w:autoSpaceDN/>
              <w:bidi w:val="0"/>
              <w:adjustRightInd/>
              <w:spacing w:before="0" w:beforeAutospacing="0" w:after="0" w:afterAutospacing="0" w:line="380" w:lineRule="exact"/>
              <w:ind w:left="0" w:right="0"/>
              <w:textAlignment w:val="auto"/>
              <w:rPr>
                <w:rFonts w:hint="default" w:ascii="宋体" w:hAnsi="宋体"/>
                <w:szCs w:val="21"/>
                <w:highlight w:val="none"/>
              </w:rPr>
            </w:pPr>
            <w:r>
              <w:rPr>
                <w:rFonts w:hint="eastAsia" w:ascii="宋体" w:hAnsi="宋体"/>
                <w:szCs w:val="21"/>
                <w:highlight w:val="none"/>
              </w:rPr>
              <w:t xml:space="preserve"> 0.006%</w:t>
            </w:r>
          </w:p>
        </w:tc>
        <w:tc>
          <w:tcPr>
            <w:tcW w:w="1687" w:type="dxa"/>
          </w:tcPr>
          <w:p w14:paraId="29207A4E">
            <w:pPr>
              <w:keepNext w:val="0"/>
              <w:keepLines w:val="0"/>
              <w:pageBreakBefore w:val="0"/>
              <w:suppressLineNumbers w:val="0"/>
              <w:kinsoku/>
              <w:overflowPunct/>
              <w:topLinePunct w:val="0"/>
              <w:autoSpaceDE/>
              <w:autoSpaceDN/>
              <w:bidi w:val="0"/>
              <w:adjustRightInd/>
              <w:spacing w:before="0" w:beforeAutospacing="0" w:after="0" w:afterAutospacing="0" w:line="380" w:lineRule="exact"/>
              <w:ind w:left="0" w:right="0" w:firstLine="210" w:firstLineChars="100"/>
              <w:textAlignment w:val="auto"/>
              <w:rPr>
                <w:rFonts w:hint="default" w:ascii="宋体" w:hAnsi="宋体"/>
                <w:szCs w:val="21"/>
                <w:highlight w:val="none"/>
              </w:rPr>
            </w:pPr>
            <w:r>
              <w:rPr>
                <w:rFonts w:hint="eastAsia" w:ascii="宋体" w:hAnsi="宋体"/>
                <w:szCs w:val="21"/>
                <w:highlight w:val="none"/>
              </w:rPr>
              <w:t>0.006%</w:t>
            </w:r>
          </w:p>
        </w:tc>
        <w:tc>
          <w:tcPr>
            <w:tcW w:w="1659" w:type="dxa"/>
          </w:tcPr>
          <w:p w14:paraId="69F7D9DB">
            <w:pPr>
              <w:keepNext w:val="0"/>
              <w:keepLines w:val="0"/>
              <w:pageBreakBefore w:val="0"/>
              <w:suppressLineNumbers w:val="0"/>
              <w:kinsoku/>
              <w:overflowPunct/>
              <w:topLinePunct w:val="0"/>
              <w:autoSpaceDE/>
              <w:autoSpaceDN/>
              <w:bidi w:val="0"/>
              <w:adjustRightInd/>
              <w:spacing w:before="0" w:beforeAutospacing="0" w:after="0" w:afterAutospacing="0" w:line="380" w:lineRule="exact"/>
              <w:ind w:left="0" w:right="0" w:firstLine="105" w:firstLineChars="50"/>
              <w:textAlignment w:val="auto"/>
              <w:rPr>
                <w:rFonts w:hint="default" w:ascii="宋体" w:hAnsi="宋体"/>
                <w:szCs w:val="21"/>
                <w:highlight w:val="none"/>
              </w:rPr>
            </w:pPr>
            <w:r>
              <w:rPr>
                <w:rFonts w:hint="eastAsia" w:ascii="宋体" w:hAnsi="宋体"/>
                <w:szCs w:val="21"/>
                <w:highlight w:val="none"/>
              </w:rPr>
              <w:t>0.006%</w:t>
            </w:r>
          </w:p>
        </w:tc>
      </w:tr>
      <w:tr w14:paraId="62A63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5C64FDA0">
            <w:pPr>
              <w:keepNext w:val="0"/>
              <w:keepLines w:val="0"/>
              <w:pageBreakBefore w:val="0"/>
              <w:suppressLineNumbers w:val="0"/>
              <w:kinsoku/>
              <w:overflowPunct/>
              <w:topLinePunct w:val="0"/>
              <w:autoSpaceDE/>
              <w:autoSpaceDN/>
              <w:bidi w:val="0"/>
              <w:adjustRightInd/>
              <w:spacing w:before="0" w:beforeAutospacing="0" w:after="0" w:afterAutospacing="0" w:line="380" w:lineRule="exact"/>
              <w:ind w:left="0" w:right="0"/>
              <w:textAlignment w:val="auto"/>
              <w:rPr>
                <w:rFonts w:hint="default" w:ascii="宋体" w:hAnsi="宋体"/>
                <w:szCs w:val="21"/>
                <w:highlight w:val="none"/>
              </w:rPr>
            </w:pPr>
            <w:r>
              <w:rPr>
                <w:rFonts w:hint="eastAsia" w:ascii="宋体" w:hAnsi="宋体"/>
                <w:szCs w:val="21"/>
                <w:highlight w:val="none"/>
              </w:rPr>
              <w:t>100亿以上</w:t>
            </w:r>
          </w:p>
        </w:tc>
        <w:tc>
          <w:tcPr>
            <w:tcW w:w="1659" w:type="dxa"/>
          </w:tcPr>
          <w:p w14:paraId="6256581B">
            <w:pPr>
              <w:keepNext w:val="0"/>
              <w:keepLines w:val="0"/>
              <w:pageBreakBefore w:val="0"/>
              <w:suppressLineNumbers w:val="0"/>
              <w:kinsoku/>
              <w:overflowPunct/>
              <w:topLinePunct w:val="0"/>
              <w:autoSpaceDE/>
              <w:autoSpaceDN/>
              <w:bidi w:val="0"/>
              <w:adjustRightInd/>
              <w:spacing w:before="0" w:beforeAutospacing="0" w:after="0" w:afterAutospacing="0" w:line="380" w:lineRule="exact"/>
              <w:ind w:left="0" w:right="0"/>
              <w:textAlignment w:val="auto"/>
              <w:rPr>
                <w:rFonts w:hint="default" w:ascii="宋体" w:hAnsi="宋体"/>
                <w:szCs w:val="21"/>
                <w:highlight w:val="none"/>
              </w:rPr>
            </w:pPr>
            <w:r>
              <w:rPr>
                <w:rFonts w:hint="eastAsia" w:ascii="宋体" w:hAnsi="宋体"/>
                <w:szCs w:val="21"/>
                <w:highlight w:val="none"/>
              </w:rPr>
              <w:t xml:space="preserve"> 0.004%</w:t>
            </w:r>
          </w:p>
        </w:tc>
        <w:tc>
          <w:tcPr>
            <w:tcW w:w="1687" w:type="dxa"/>
          </w:tcPr>
          <w:p w14:paraId="3E072219">
            <w:pPr>
              <w:keepNext w:val="0"/>
              <w:keepLines w:val="0"/>
              <w:pageBreakBefore w:val="0"/>
              <w:suppressLineNumbers w:val="0"/>
              <w:kinsoku/>
              <w:overflowPunct/>
              <w:topLinePunct w:val="0"/>
              <w:autoSpaceDE/>
              <w:autoSpaceDN/>
              <w:bidi w:val="0"/>
              <w:adjustRightInd/>
              <w:spacing w:before="0" w:beforeAutospacing="0" w:after="0" w:afterAutospacing="0" w:line="380" w:lineRule="exact"/>
              <w:ind w:left="0" w:right="0" w:firstLine="210" w:firstLineChars="100"/>
              <w:textAlignment w:val="auto"/>
              <w:rPr>
                <w:rFonts w:hint="default" w:ascii="宋体" w:hAnsi="宋体"/>
                <w:szCs w:val="21"/>
                <w:highlight w:val="none"/>
              </w:rPr>
            </w:pPr>
            <w:r>
              <w:rPr>
                <w:rFonts w:hint="eastAsia" w:ascii="宋体" w:hAnsi="宋体"/>
                <w:szCs w:val="21"/>
                <w:highlight w:val="none"/>
              </w:rPr>
              <w:t>0.004%</w:t>
            </w:r>
          </w:p>
        </w:tc>
        <w:tc>
          <w:tcPr>
            <w:tcW w:w="1659" w:type="dxa"/>
          </w:tcPr>
          <w:p w14:paraId="34619E5D">
            <w:pPr>
              <w:keepNext w:val="0"/>
              <w:keepLines w:val="0"/>
              <w:pageBreakBefore w:val="0"/>
              <w:suppressLineNumbers w:val="0"/>
              <w:kinsoku/>
              <w:overflowPunct/>
              <w:topLinePunct w:val="0"/>
              <w:autoSpaceDE/>
              <w:autoSpaceDN/>
              <w:bidi w:val="0"/>
              <w:adjustRightInd/>
              <w:spacing w:before="0" w:beforeAutospacing="0" w:after="0" w:afterAutospacing="0" w:line="380" w:lineRule="exact"/>
              <w:ind w:left="0" w:right="0" w:firstLine="105" w:firstLineChars="50"/>
              <w:textAlignment w:val="auto"/>
              <w:rPr>
                <w:rFonts w:hint="default" w:ascii="宋体" w:hAnsi="宋体"/>
                <w:szCs w:val="21"/>
                <w:highlight w:val="none"/>
              </w:rPr>
            </w:pPr>
            <w:r>
              <w:rPr>
                <w:rFonts w:hint="eastAsia" w:ascii="宋体" w:hAnsi="宋体"/>
                <w:szCs w:val="21"/>
                <w:highlight w:val="none"/>
              </w:rPr>
              <w:t>0.004%</w:t>
            </w:r>
          </w:p>
        </w:tc>
      </w:tr>
    </w:tbl>
    <w:p w14:paraId="70F0BAB5">
      <w:pPr>
        <w:keepNext w:val="0"/>
        <w:keepLines w:val="0"/>
        <w:pageBreakBefore w:val="0"/>
        <w:kinsoku/>
        <w:overflowPunct/>
        <w:topLinePunct w:val="0"/>
        <w:autoSpaceDE/>
        <w:autoSpaceDN/>
        <w:bidi w:val="0"/>
        <w:adjustRightInd/>
        <w:spacing w:line="380" w:lineRule="exact"/>
        <w:ind w:firstLine="435"/>
        <w:textAlignment w:val="auto"/>
        <w:rPr>
          <w:rFonts w:ascii="宋体" w:hAnsi="Courier New" w:cs="Courier New"/>
          <w:szCs w:val="21"/>
          <w:highlight w:val="none"/>
        </w:rPr>
      </w:pPr>
    </w:p>
    <w:p w14:paraId="2085D5F5">
      <w:pPr>
        <w:keepNext w:val="0"/>
        <w:keepLines w:val="0"/>
        <w:pageBreakBefore w:val="0"/>
        <w:kinsoku/>
        <w:overflowPunct/>
        <w:topLinePunct w:val="0"/>
        <w:autoSpaceDE/>
        <w:autoSpaceDN/>
        <w:bidi w:val="0"/>
        <w:adjustRightInd/>
        <w:spacing w:line="380" w:lineRule="exact"/>
        <w:ind w:firstLine="435"/>
        <w:textAlignment w:val="auto"/>
        <w:rPr>
          <w:rFonts w:ascii="宋体" w:hAnsi="Courier New" w:cs="Courier New"/>
          <w:szCs w:val="21"/>
          <w:highlight w:val="none"/>
        </w:rPr>
      </w:pPr>
    </w:p>
    <w:p w14:paraId="0401D4FF">
      <w:pPr>
        <w:keepNext w:val="0"/>
        <w:keepLines w:val="0"/>
        <w:pageBreakBefore w:val="0"/>
        <w:kinsoku/>
        <w:overflowPunct/>
        <w:topLinePunct w:val="0"/>
        <w:autoSpaceDE/>
        <w:autoSpaceDN/>
        <w:bidi w:val="0"/>
        <w:adjustRightInd/>
        <w:spacing w:line="380" w:lineRule="exact"/>
        <w:ind w:firstLine="435"/>
        <w:textAlignment w:val="auto"/>
        <w:rPr>
          <w:rFonts w:ascii="宋体" w:hAnsi="Courier New" w:cs="Courier New"/>
          <w:szCs w:val="21"/>
          <w:highlight w:val="none"/>
        </w:rPr>
      </w:pPr>
      <w:r>
        <w:rPr>
          <w:rFonts w:hint="eastAsia" w:ascii="宋体" w:hAnsi="Courier New" w:cs="Courier New"/>
          <w:szCs w:val="21"/>
          <w:highlight w:val="none"/>
        </w:rPr>
        <w:t>注</w:t>
      </w:r>
      <w:r>
        <w:rPr>
          <w:rFonts w:hint="eastAsia" w:ascii="宋体" w:hAnsi="Courier New" w:cs="Courier New"/>
          <w:szCs w:val="21"/>
          <w:highlight w:val="none"/>
          <w:lang w:eastAsia="zh-CN"/>
        </w:rPr>
        <w:t>：</w:t>
      </w:r>
      <w:r>
        <w:rPr>
          <w:rFonts w:hint="eastAsia" w:ascii="宋体" w:hAnsi="Courier New" w:cs="Courier New"/>
          <w:szCs w:val="21"/>
          <w:highlight w:val="none"/>
        </w:rPr>
        <w:t>招标代理服务收费按差额定率累进法计算。</w:t>
      </w:r>
    </w:p>
    <w:p w14:paraId="7D07767B">
      <w:pPr>
        <w:keepNext w:val="0"/>
        <w:keepLines w:val="0"/>
        <w:pageBreakBefore w:val="0"/>
        <w:kinsoku/>
        <w:overflowPunct/>
        <w:topLinePunct w:val="0"/>
        <w:autoSpaceDE/>
        <w:autoSpaceDN/>
        <w:bidi w:val="0"/>
        <w:adjustRightInd/>
        <w:spacing w:line="380" w:lineRule="exact"/>
        <w:ind w:firstLine="435"/>
        <w:textAlignment w:val="auto"/>
        <w:rPr>
          <w:rFonts w:ascii="宋体" w:hAnsi="Courier New" w:cs="Courier New"/>
          <w:szCs w:val="21"/>
          <w:highlight w:val="none"/>
        </w:rPr>
      </w:pPr>
      <w:r>
        <w:rPr>
          <w:rFonts w:hint="eastAsia" w:ascii="宋体" w:hAnsi="Courier New" w:cs="Courier New"/>
          <w:szCs w:val="21"/>
          <w:highlight w:val="none"/>
        </w:rPr>
        <w:t>（3）服务费指定银行账户：</w:t>
      </w:r>
    </w:p>
    <w:p w14:paraId="03018AC0">
      <w:pPr>
        <w:keepNext w:val="0"/>
        <w:keepLines w:val="0"/>
        <w:pageBreakBefore w:val="0"/>
        <w:kinsoku/>
        <w:overflowPunct/>
        <w:topLinePunct w:val="0"/>
        <w:autoSpaceDE/>
        <w:autoSpaceDN/>
        <w:bidi w:val="0"/>
        <w:adjustRightInd/>
        <w:spacing w:line="380" w:lineRule="exact"/>
        <w:ind w:firstLine="435"/>
        <w:textAlignment w:val="auto"/>
        <w:rPr>
          <w:rFonts w:ascii="宋体" w:hAnsi="Courier New" w:cs="Courier New"/>
          <w:szCs w:val="21"/>
          <w:highlight w:val="none"/>
        </w:rPr>
      </w:pPr>
      <w:r>
        <w:rPr>
          <w:rFonts w:hint="eastAsia" w:ascii="宋体" w:hAnsi="Courier New" w:cs="Courier New"/>
          <w:szCs w:val="21"/>
          <w:highlight w:val="none"/>
        </w:rPr>
        <w:t>开户名称：广西国力招标有限公司</w:t>
      </w:r>
    </w:p>
    <w:p w14:paraId="09405445">
      <w:pPr>
        <w:keepNext w:val="0"/>
        <w:keepLines w:val="0"/>
        <w:pageBreakBefore w:val="0"/>
        <w:kinsoku/>
        <w:overflowPunct/>
        <w:topLinePunct w:val="0"/>
        <w:autoSpaceDE/>
        <w:autoSpaceDN/>
        <w:bidi w:val="0"/>
        <w:adjustRightInd/>
        <w:spacing w:line="380" w:lineRule="exact"/>
        <w:ind w:firstLine="435"/>
        <w:textAlignment w:val="auto"/>
        <w:rPr>
          <w:rFonts w:ascii="宋体" w:hAnsi="Courier New" w:cs="Courier New"/>
          <w:szCs w:val="21"/>
          <w:highlight w:val="none"/>
        </w:rPr>
      </w:pPr>
      <w:r>
        <w:rPr>
          <w:rFonts w:hint="eastAsia" w:ascii="宋体" w:hAnsi="Courier New" w:cs="Courier New"/>
          <w:szCs w:val="21"/>
          <w:highlight w:val="none"/>
        </w:rPr>
        <w:t>开户银行：广西北部湾银行股份有限公司南宁市白沙支行（网银支付可选广西北部湾银行江南支行）</w:t>
      </w:r>
    </w:p>
    <w:p w14:paraId="5C37C9E1">
      <w:pPr>
        <w:keepNext w:val="0"/>
        <w:keepLines w:val="0"/>
        <w:pageBreakBefore w:val="0"/>
        <w:kinsoku/>
        <w:overflowPunct/>
        <w:topLinePunct w:val="0"/>
        <w:autoSpaceDE/>
        <w:autoSpaceDN/>
        <w:bidi w:val="0"/>
        <w:adjustRightInd/>
        <w:spacing w:line="380" w:lineRule="exact"/>
        <w:ind w:firstLine="420" w:firstLineChars="200"/>
        <w:textAlignment w:val="auto"/>
        <w:rPr>
          <w:rFonts w:ascii="宋体" w:hAnsi="宋体" w:cs="Courier New"/>
          <w:szCs w:val="21"/>
          <w:highlight w:val="none"/>
        </w:rPr>
      </w:pPr>
      <w:r>
        <w:rPr>
          <w:rFonts w:hint="eastAsia" w:ascii="宋体" w:hAnsi="Courier New" w:cs="Courier New"/>
          <w:szCs w:val="21"/>
          <w:highlight w:val="none"/>
        </w:rPr>
        <w:t>银行账号</w:t>
      </w:r>
      <w:r>
        <w:rPr>
          <w:rFonts w:hint="eastAsia" w:ascii="宋体" w:hAnsi="宋体" w:cs="Courier New"/>
          <w:szCs w:val="21"/>
          <w:highlight w:val="none"/>
        </w:rPr>
        <w:t xml:space="preserve">：800109057400039 </w:t>
      </w:r>
    </w:p>
    <w:p w14:paraId="79E1C01B">
      <w:pPr>
        <w:keepNext w:val="0"/>
        <w:keepLines w:val="0"/>
        <w:pageBreakBefore w:val="0"/>
        <w:kinsoku/>
        <w:overflowPunct/>
        <w:topLinePunct w:val="0"/>
        <w:autoSpaceDE/>
        <w:autoSpaceDN/>
        <w:bidi w:val="0"/>
        <w:adjustRightInd/>
        <w:spacing w:line="380" w:lineRule="exact"/>
        <w:ind w:firstLine="420" w:firstLineChars="200"/>
        <w:textAlignment w:val="auto"/>
        <w:rPr>
          <w:rFonts w:ascii="宋体" w:hAnsi="宋体" w:cs="Courier New"/>
          <w:szCs w:val="21"/>
          <w:highlight w:val="none"/>
        </w:rPr>
      </w:pPr>
      <w:r>
        <w:rPr>
          <w:rFonts w:hint="eastAsia" w:ascii="宋体" w:hAnsi="宋体"/>
          <w:highlight w:val="none"/>
        </w:rPr>
        <w:t>银行行号：313611002051</w:t>
      </w:r>
    </w:p>
    <w:p w14:paraId="2720915C">
      <w:pPr>
        <w:keepNext w:val="0"/>
        <w:keepLines w:val="0"/>
        <w:pageBreakBefore w:val="0"/>
        <w:kinsoku/>
        <w:overflowPunct/>
        <w:topLinePunct w:val="0"/>
        <w:autoSpaceDE/>
        <w:autoSpaceDN/>
        <w:bidi w:val="0"/>
        <w:adjustRightInd/>
        <w:spacing w:line="380" w:lineRule="exact"/>
        <w:ind w:firstLine="422" w:firstLineChars="200"/>
        <w:textAlignment w:val="auto"/>
        <w:rPr>
          <w:rFonts w:hAnsi="宋体"/>
          <w:b/>
          <w:highlight w:val="none"/>
        </w:rPr>
      </w:pPr>
      <w:r>
        <w:rPr>
          <w:rFonts w:hint="eastAsia" w:ascii="宋体" w:hAnsi="宋体" w:cs="Courier New"/>
          <w:b/>
          <w:szCs w:val="21"/>
          <w:highlight w:val="none"/>
        </w:rPr>
        <w:t>19.2</w:t>
      </w:r>
      <w:r>
        <w:rPr>
          <w:rFonts w:hint="eastAsia" w:hAnsi="宋体"/>
          <w:b/>
          <w:highlight w:val="none"/>
        </w:rPr>
        <w:t>解释权</w:t>
      </w:r>
    </w:p>
    <w:p w14:paraId="31B83B85">
      <w:pPr>
        <w:keepNext w:val="0"/>
        <w:keepLines w:val="0"/>
        <w:pageBreakBefore w:val="0"/>
        <w:kinsoku/>
        <w:overflowPunct/>
        <w:topLinePunct w:val="0"/>
        <w:autoSpaceDE/>
        <w:autoSpaceDN/>
        <w:bidi w:val="0"/>
        <w:adjustRightInd/>
        <w:spacing w:line="380" w:lineRule="exact"/>
        <w:ind w:firstLine="404" w:firstLineChars="200"/>
        <w:textAlignment w:val="auto"/>
        <w:rPr>
          <w:rFonts w:hAnsi="宋体"/>
          <w:spacing w:val="-4"/>
          <w:highlight w:val="none"/>
        </w:rPr>
      </w:pPr>
      <w:r>
        <w:rPr>
          <w:rFonts w:hint="eastAsia" w:hAnsi="宋体"/>
          <w:spacing w:val="-4"/>
          <w:highlight w:val="none"/>
        </w:rPr>
        <w:t>本竞争性磋商文件是根据国家有关法律、法规以及采购管理的有关规定和参照国际惯例编制，解释权属本采购代理机构。</w:t>
      </w:r>
    </w:p>
    <w:p w14:paraId="56D852B9">
      <w:pPr>
        <w:keepNext w:val="0"/>
        <w:keepLines w:val="0"/>
        <w:pageBreakBefore w:val="0"/>
        <w:kinsoku/>
        <w:overflowPunct/>
        <w:topLinePunct w:val="0"/>
        <w:autoSpaceDE/>
        <w:autoSpaceDN/>
        <w:bidi w:val="0"/>
        <w:adjustRightInd/>
        <w:spacing w:line="380" w:lineRule="exact"/>
        <w:ind w:firstLine="422" w:firstLineChars="200"/>
        <w:textAlignment w:val="auto"/>
        <w:rPr>
          <w:rFonts w:hAnsi="宋体"/>
          <w:b/>
          <w:highlight w:val="none"/>
        </w:rPr>
      </w:pPr>
      <w:r>
        <w:rPr>
          <w:rFonts w:hint="eastAsia" w:ascii="宋体" w:hAnsi="宋体" w:cs="Courier New"/>
          <w:b/>
          <w:szCs w:val="21"/>
          <w:highlight w:val="none"/>
        </w:rPr>
        <w:t>19.3</w:t>
      </w:r>
      <w:r>
        <w:rPr>
          <w:rFonts w:hint="eastAsia" w:hAnsi="宋体"/>
          <w:b/>
          <w:highlight w:val="none"/>
        </w:rPr>
        <w:t>有关事宜</w:t>
      </w:r>
    </w:p>
    <w:p w14:paraId="486A5544">
      <w:pPr>
        <w:keepNext w:val="0"/>
        <w:keepLines w:val="0"/>
        <w:pageBreakBefore w:val="0"/>
        <w:kinsoku/>
        <w:overflowPunct/>
        <w:topLinePunct w:val="0"/>
        <w:autoSpaceDE/>
        <w:autoSpaceDN/>
        <w:bidi w:val="0"/>
        <w:adjustRightInd/>
        <w:spacing w:line="380" w:lineRule="exact"/>
        <w:ind w:firstLine="420" w:firstLineChars="200"/>
        <w:textAlignment w:val="auto"/>
        <w:rPr>
          <w:rFonts w:hAnsi="宋体"/>
          <w:highlight w:val="none"/>
        </w:rPr>
      </w:pPr>
      <w:r>
        <w:rPr>
          <w:rFonts w:hint="eastAsia" w:hAnsi="宋体"/>
          <w:highlight w:val="none"/>
        </w:rPr>
        <w:t>所有与本竞争性磋商文件有关的函电请按下列通讯地址联系：</w:t>
      </w:r>
    </w:p>
    <w:p w14:paraId="69708D4A">
      <w:pPr>
        <w:pStyle w:val="10"/>
        <w:keepNext w:val="0"/>
        <w:keepLines w:val="0"/>
        <w:pageBreakBefore w:val="0"/>
        <w:kinsoku/>
        <w:overflowPunct/>
        <w:topLinePunct w:val="0"/>
        <w:autoSpaceDE/>
        <w:autoSpaceDN/>
        <w:bidi w:val="0"/>
        <w:adjustRightInd/>
        <w:spacing w:line="380" w:lineRule="exact"/>
        <w:ind w:firstLine="420" w:firstLineChars="200"/>
        <w:textAlignment w:val="auto"/>
        <w:rPr>
          <w:rFonts w:hAnsi="宋体"/>
          <w:highlight w:val="none"/>
        </w:rPr>
      </w:pPr>
      <w:r>
        <w:rPr>
          <w:rFonts w:hint="eastAsia" w:hAnsi="宋体"/>
          <w:highlight w:val="none"/>
        </w:rPr>
        <w:t>广西国力招标有限公司</w:t>
      </w:r>
    </w:p>
    <w:p w14:paraId="5402AF6E">
      <w:pPr>
        <w:pStyle w:val="10"/>
        <w:keepNext w:val="0"/>
        <w:keepLines w:val="0"/>
        <w:pageBreakBefore w:val="0"/>
        <w:tabs>
          <w:tab w:val="left" w:pos="1990"/>
        </w:tabs>
        <w:kinsoku/>
        <w:overflowPunct/>
        <w:topLinePunct w:val="0"/>
        <w:autoSpaceDE/>
        <w:autoSpaceDN/>
        <w:bidi w:val="0"/>
        <w:adjustRightInd/>
        <w:spacing w:line="380" w:lineRule="exact"/>
        <w:ind w:firstLine="420" w:firstLineChars="200"/>
        <w:textAlignment w:val="auto"/>
        <w:rPr>
          <w:rFonts w:hAnsi="宋体"/>
          <w:highlight w:val="none"/>
          <w:u w:val="single"/>
        </w:rPr>
      </w:pPr>
      <w:r>
        <w:rPr>
          <w:rFonts w:hint="eastAsia" w:hAnsi="宋体"/>
          <w:highlight w:val="none"/>
        </w:rPr>
        <w:t>邮政编码：530000</w:t>
      </w:r>
    </w:p>
    <w:p w14:paraId="3DEDA29D">
      <w:pPr>
        <w:pStyle w:val="10"/>
        <w:keepNext w:val="0"/>
        <w:keepLines w:val="0"/>
        <w:pageBreakBefore w:val="0"/>
        <w:tabs>
          <w:tab w:val="left" w:pos="1990"/>
        </w:tabs>
        <w:kinsoku/>
        <w:overflowPunct/>
        <w:topLinePunct w:val="0"/>
        <w:autoSpaceDE/>
        <w:autoSpaceDN/>
        <w:bidi w:val="0"/>
        <w:adjustRightInd/>
        <w:spacing w:line="380" w:lineRule="exact"/>
        <w:ind w:firstLine="420" w:firstLineChars="200"/>
        <w:textAlignment w:val="auto"/>
        <w:rPr>
          <w:rFonts w:hAnsi="宋体"/>
          <w:spacing w:val="-4"/>
          <w:highlight w:val="none"/>
        </w:rPr>
      </w:pPr>
      <w:r>
        <w:rPr>
          <w:rFonts w:hint="eastAsia" w:hAnsi="宋体"/>
          <w:highlight w:val="none"/>
        </w:rPr>
        <w:t>通讯地址：广西南宁市白沙大道53号松宇时代13楼</w:t>
      </w:r>
    </w:p>
    <w:p w14:paraId="23A0CBA7">
      <w:pPr>
        <w:pStyle w:val="10"/>
        <w:keepNext w:val="0"/>
        <w:keepLines w:val="0"/>
        <w:pageBreakBefore w:val="0"/>
        <w:kinsoku/>
        <w:overflowPunct/>
        <w:topLinePunct w:val="0"/>
        <w:autoSpaceDE/>
        <w:autoSpaceDN/>
        <w:bidi w:val="0"/>
        <w:adjustRightInd/>
        <w:spacing w:line="380" w:lineRule="exact"/>
        <w:ind w:firstLine="420" w:firstLineChars="200"/>
        <w:textAlignment w:val="auto"/>
        <w:rPr>
          <w:b/>
          <w:sz w:val="32"/>
          <w:szCs w:val="32"/>
          <w:highlight w:val="none"/>
        </w:rPr>
      </w:pPr>
      <w:r>
        <w:rPr>
          <w:rFonts w:hint="eastAsia" w:hAnsi="宋体"/>
          <w:highlight w:val="none"/>
        </w:rPr>
        <w:t>电    话：0771—</w:t>
      </w:r>
      <w:r>
        <w:rPr>
          <w:rFonts w:hAnsi="宋体"/>
          <w:highlight w:val="none"/>
        </w:rPr>
        <w:t>4915</w:t>
      </w:r>
      <w:r>
        <w:rPr>
          <w:rFonts w:hint="eastAsia" w:hAnsi="宋体"/>
          <w:highlight w:val="none"/>
        </w:rPr>
        <w:t>558</w:t>
      </w:r>
      <w:r>
        <w:rPr>
          <w:rFonts w:hint="eastAsia" w:hAnsi="宋体"/>
          <w:highlight w:val="none"/>
          <w:lang w:val="en-US" w:eastAsia="zh-CN"/>
        </w:rPr>
        <w:t xml:space="preserve">           </w:t>
      </w:r>
      <w:r>
        <w:rPr>
          <w:rFonts w:hint="eastAsia"/>
          <w:highlight w:val="none"/>
        </w:rPr>
        <w:t>传    真：0771—4915558、4915100</w:t>
      </w:r>
    </w:p>
    <w:p w14:paraId="7FF184E7">
      <w:pPr>
        <w:spacing w:line="400" w:lineRule="exact"/>
        <w:rPr>
          <w:rFonts w:ascii="宋体" w:hAnsi="宋体"/>
          <w:b/>
          <w:sz w:val="32"/>
          <w:szCs w:val="32"/>
          <w:highlight w:val="none"/>
        </w:rPr>
      </w:pPr>
      <w:r>
        <w:rPr>
          <w:rFonts w:ascii="宋体" w:hAnsi="宋体"/>
          <w:b/>
          <w:sz w:val="32"/>
          <w:szCs w:val="32"/>
          <w:highlight w:val="none"/>
        </w:rPr>
        <w:br w:type="page"/>
      </w:r>
    </w:p>
    <w:p w14:paraId="0CBC340E">
      <w:pPr>
        <w:spacing w:line="400" w:lineRule="exact"/>
        <w:jc w:val="center"/>
        <w:rPr>
          <w:rFonts w:ascii="宋体" w:hAnsi="宋体"/>
          <w:b/>
          <w:sz w:val="32"/>
          <w:szCs w:val="32"/>
          <w:highlight w:val="none"/>
        </w:rPr>
      </w:pPr>
    </w:p>
    <w:p w14:paraId="2CCED725">
      <w:pPr>
        <w:spacing w:line="400" w:lineRule="exact"/>
        <w:jc w:val="center"/>
        <w:rPr>
          <w:rFonts w:ascii="宋体" w:hAnsi="宋体"/>
          <w:b/>
          <w:sz w:val="32"/>
          <w:szCs w:val="32"/>
          <w:highlight w:val="none"/>
        </w:rPr>
      </w:pPr>
    </w:p>
    <w:p w14:paraId="400E594D">
      <w:pPr>
        <w:spacing w:line="400" w:lineRule="exact"/>
        <w:jc w:val="center"/>
        <w:rPr>
          <w:rFonts w:ascii="宋体" w:hAnsi="宋体"/>
          <w:b/>
          <w:sz w:val="32"/>
          <w:szCs w:val="32"/>
          <w:highlight w:val="none"/>
        </w:rPr>
      </w:pPr>
    </w:p>
    <w:p w14:paraId="5437F1C6">
      <w:pPr>
        <w:spacing w:line="400" w:lineRule="exact"/>
        <w:jc w:val="center"/>
        <w:rPr>
          <w:rFonts w:ascii="宋体" w:hAnsi="宋体"/>
          <w:b/>
          <w:sz w:val="32"/>
          <w:szCs w:val="32"/>
          <w:highlight w:val="none"/>
        </w:rPr>
      </w:pPr>
    </w:p>
    <w:p w14:paraId="12AC26F2">
      <w:pPr>
        <w:spacing w:line="400" w:lineRule="exact"/>
        <w:jc w:val="center"/>
        <w:rPr>
          <w:rFonts w:ascii="宋体" w:hAnsi="宋体"/>
          <w:b/>
          <w:sz w:val="32"/>
          <w:szCs w:val="32"/>
          <w:highlight w:val="none"/>
        </w:rPr>
      </w:pPr>
    </w:p>
    <w:p w14:paraId="529ACCD5">
      <w:pPr>
        <w:spacing w:line="400" w:lineRule="exact"/>
        <w:jc w:val="center"/>
        <w:rPr>
          <w:rFonts w:ascii="宋体" w:hAnsi="宋体"/>
          <w:b/>
          <w:sz w:val="32"/>
          <w:szCs w:val="32"/>
          <w:highlight w:val="none"/>
        </w:rPr>
      </w:pPr>
    </w:p>
    <w:p w14:paraId="637BA87D">
      <w:pPr>
        <w:spacing w:line="400" w:lineRule="exact"/>
        <w:jc w:val="center"/>
        <w:rPr>
          <w:rFonts w:ascii="宋体" w:hAnsi="宋体"/>
          <w:b/>
          <w:sz w:val="32"/>
          <w:szCs w:val="32"/>
          <w:highlight w:val="none"/>
        </w:rPr>
      </w:pPr>
    </w:p>
    <w:p w14:paraId="26CD3260">
      <w:pPr>
        <w:spacing w:line="400" w:lineRule="exact"/>
        <w:jc w:val="center"/>
        <w:rPr>
          <w:rFonts w:ascii="宋体" w:hAnsi="宋体"/>
          <w:b/>
          <w:sz w:val="32"/>
          <w:szCs w:val="32"/>
          <w:highlight w:val="none"/>
        </w:rPr>
      </w:pPr>
    </w:p>
    <w:p w14:paraId="6568515B">
      <w:pPr>
        <w:spacing w:line="400" w:lineRule="exact"/>
        <w:jc w:val="center"/>
        <w:rPr>
          <w:rFonts w:ascii="宋体" w:hAnsi="宋体"/>
          <w:b/>
          <w:sz w:val="32"/>
          <w:szCs w:val="32"/>
          <w:highlight w:val="none"/>
        </w:rPr>
      </w:pPr>
    </w:p>
    <w:p w14:paraId="2C8F6E43">
      <w:pPr>
        <w:spacing w:line="400" w:lineRule="exact"/>
        <w:jc w:val="center"/>
        <w:rPr>
          <w:rFonts w:ascii="宋体" w:hAnsi="宋体"/>
          <w:b/>
          <w:sz w:val="32"/>
          <w:szCs w:val="32"/>
          <w:highlight w:val="none"/>
        </w:rPr>
      </w:pPr>
    </w:p>
    <w:p w14:paraId="32AF1E43">
      <w:pPr>
        <w:spacing w:line="400" w:lineRule="exact"/>
        <w:jc w:val="center"/>
        <w:rPr>
          <w:rFonts w:ascii="宋体" w:hAnsi="宋体"/>
          <w:b/>
          <w:sz w:val="32"/>
          <w:szCs w:val="32"/>
          <w:highlight w:val="none"/>
        </w:rPr>
      </w:pPr>
    </w:p>
    <w:p w14:paraId="4BBD207B">
      <w:pPr>
        <w:spacing w:line="400" w:lineRule="exact"/>
        <w:jc w:val="center"/>
        <w:rPr>
          <w:rFonts w:ascii="宋体" w:hAnsi="宋体"/>
          <w:b/>
          <w:sz w:val="32"/>
          <w:szCs w:val="32"/>
          <w:highlight w:val="none"/>
        </w:rPr>
      </w:pPr>
    </w:p>
    <w:p w14:paraId="51EA363F">
      <w:pPr>
        <w:spacing w:line="400" w:lineRule="exact"/>
        <w:rPr>
          <w:rFonts w:ascii="宋体" w:hAnsi="宋体"/>
          <w:b/>
          <w:sz w:val="32"/>
          <w:szCs w:val="32"/>
          <w:highlight w:val="none"/>
        </w:rPr>
      </w:pPr>
    </w:p>
    <w:p w14:paraId="3720284B">
      <w:pPr>
        <w:pStyle w:val="17"/>
        <w:rPr>
          <w:sz w:val="44"/>
          <w:szCs w:val="44"/>
          <w:highlight w:val="none"/>
        </w:rPr>
      </w:pPr>
      <w:bookmarkStart w:id="50" w:name="_Toc476258758"/>
      <w:bookmarkStart w:id="51" w:name="_Toc476258664"/>
      <w:r>
        <w:rPr>
          <w:rFonts w:hint="eastAsia"/>
          <w:sz w:val="44"/>
          <w:szCs w:val="44"/>
          <w:highlight w:val="none"/>
        </w:rPr>
        <w:t>第三章  采购需求</w:t>
      </w:r>
      <w:bookmarkEnd w:id="50"/>
      <w:bookmarkEnd w:id="51"/>
    </w:p>
    <w:p w14:paraId="4707FBD4">
      <w:pPr>
        <w:spacing w:line="720" w:lineRule="auto"/>
        <w:jc w:val="center"/>
        <w:rPr>
          <w:rFonts w:ascii="宋体" w:hAnsi="宋体"/>
          <w:b/>
          <w:sz w:val="32"/>
          <w:szCs w:val="32"/>
          <w:highlight w:val="none"/>
        </w:rPr>
      </w:pPr>
      <w:r>
        <w:rPr>
          <w:rFonts w:ascii="仿宋_GB2312" w:hAnsi="宋体" w:eastAsia="仿宋_GB2312"/>
          <w:b/>
          <w:sz w:val="32"/>
          <w:szCs w:val="32"/>
          <w:highlight w:val="none"/>
        </w:rPr>
        <w:br w:type="page"/>
      </w:r>
      <w:r>
        <w:rPr>
          <w:rFonts w:hint="eastAsia" w:ascii="宋体" w:hAnsi="宋体"/>
          <w:b/>
          <w:sz w:val="32"/>
          <w:szCs w:val="32"/>
          <w:highlight w:val="none"/>
        </w:rPr>
        <w:t>采购项目技术规格、参数及要求</w:t>
      </w:r>
    </w:p>
    <w:p w14:paraId="16F743C9">
      <w:pPr>
        <w:tabs>
          <w:tab w:val="left" w:pos="180"/>
          <w:tab w:val="left" w:pos="1620"/>
        </w:tabs>
        <w:spacing w:line="440" w:lineRule="exact"/>
        <w:ind w:firstLine="420" w:firstLineChars="200"/>
        <w:rPr>
          <w:rFonts w:hint="eastAsia" w:ascii="宋体" w:hAnsi="宋体" w:eastAsia="宋体"/>
          <w:szCs w:val="21"/>
          <w:highlight w:val="none"/>
          <w:u w:val="single"/>
          <w:lang w:eastAsia="zh-CN"/>
        </w:rPr>
      </w:pPr>
      <w:r>
        <w:rPr>
          <w:rFonts w:hint="eastAsia" w:ascii="宋体" w:hAnsi="宋体"/>
          <w:szCs w:val="21"/>
          <w:highlight w:val="none"/>
        </w:rPr>
        <w:t>一、采购项目编号：</w:t>
      </w:r>
      <w:r>
        <w:rPr>
          <w:rFonts w:hint="eastAsia" w:ascii="宋体" w:hAnsi="宋体"/>
          <w:szCs w:val="21"/>
          <w:highlight w:val="none"/>
          <w:u w:val="single"/>
          <w:lang w:eastAsia="zh-CN"/>
        </w:rPr>
        <w:t>GXGL2025S-C617-Z</w:t>
      </w:r>
    </w:p>
    <w:p w14:paraId="081C056F">
      <w:pPr>
        <w:tabs>
          <w:tab w:val="left" w:pos="180"/>
          <w:tab w:val="left" w:pos="1620"/>
        </w:tabs>
        <w:spacing w:line="440" w:lineRule="exact"/>
        <w:ind w:firstLine="420" w:firstLineChars="200"/>
        <w:rPr>
          <w:rFonts w:ascii="宋体" w:hAnsi="宋体"/>
          <w:szCs w:val="21"/>
          <w:highlight w:val="none"/>
          <w:u w:val="single"/>
        </w:rPr>
      </w:pPr>
      <w:r>
        <w:rPr>
          <w:rFonts w:hint="eastAsia" w:ascii="宋体" w:hAnsi="宋体"/>
          <w:szCs w:val="21"/>
          <w:highlight w:val="none"/>
        </w:rPr>
        <w:t>二、采购项目类别：</w:t>
      </w:r>
      <w:r>
        <w:rPr>
          <w:rFonts w:hint="eastAsia" w:ascii="宋体" w:hAnsi="宋体"/>
          <w:szCs w:val="21"/>
          <w:highlight w:val="none"/>
          <w:u w:val="single"/>
        </w:rPr>
        <w:t xml:space="preserve">   服务类  </w:t>
      </w:r>
    </w:p>
    <w:p w14:paraId="04E32BAE">
      <w:pPr>
        <w:tabs>
          <w:tab w:val="left" w:pos="180"/>
          <w:tab w:val="left" w:pos="1620"/>
        </w:tabs>
        <w:spacing w:line="440" w:lineRule="exact"/>
        <w:ind w:firstLine="420" w:firstLineChars="200"/>
        <w:rPr>
          <w:rFonts w:ascii="宋体" w:hAnsi="宋体"/>
          <w:szCs w:val="21"/>
          <w:highlight w:val="none"/>
        </w:rPr>
      </w:pPr>
      <w:r>
        <w:rPr>
          <w:rFonts w:hint="eastAsia" w:ascii="宋体" w:hAnsi="宋体"/>
          <w:szCs w:val="21"/>
          <w:highlight w:val="none"/>
        </w:rPr>
        <w:t>三、采购需求一览表</w:t>
      </w:r>
    </w:p>
    <w:p w14:paraId="7915FD89">
      <w:pPr>
        <w:spacing w:line="440" w:lineRule="exact"/>
        <w:ind w:firstLine="437"/>
        <w:rPr>
          <w:rFonts w:ascii="宋体" w:hAnsi="宋体"/>
          <w:szCs w:val="21"/>
          <w:highlight w:val="none"/>
        </w:rPr>
      </w:pPr>
      <w:r>
        <w:rPr>
          <w:rFonts w:hint="eastAsia" w:ascii="宋体" w:hAnsi="宋体"/>
          <w:szCs w:val="21"/>
          <w:highlight w:val="none"/>
        </w:rPr>
        <w:t>说明：</w:t>
      </w:r>
    </w:p>
    <w:p w14:paraId="3AFB248A">
      <w:pPr>
        <w:spacing w:line="440" w:lineRule="exact"/>
        <w:ind w:firstLine="420" w:firstLineChars="200"/>
        <w:rPr>
          <w:rFonts w:ascii="宋体" w:hAnsi="宋体"/>
          <w:color w:val="auto"/>
          <w:szCs w:val="21"/>
          <w:highlight w:val="none"/>
        </w:rPr>
      </w:pPr>
      <w:r>
        <w:rPr>
          <w:rFonts w:hint="eastAsia" w:ascii="宋体" w:hAnsi="宋体"/>
          <w:szCs w:val="21"/>
          <w:highlight w:val="none"/>
        </w:rPr>
        <w:t>1、本项目需求表中打‘▲’及表述为“须”或“必须”的条款均为实质性要求或条件，供应商必须作出满足或者优于该要求和条</w:t>
      </w:r>
      <w:r>
        <w:rPr>
          <w:rFonts w:hint="eastAsia" w:ascii="宋体" w:hAnsi="宋体"/>
          <w:color w:val="auto"/>
          <w:szCs w:val="21"/>
          <w:highlight w:val="none"/>
        </w:rPr>
        <w:t>件的承诺，否则响应文件无效。</w:t>
      </w:r>
    </w:p>
    <w:p w14:paraId="44583006">
      <w:pPr>
        <w:spacing w:line="400" w:lineRule="exact"/>
        <w:ind w:firstLine="420" w:firstLineChars="200"/>
        <w:jc w:val="left"/>
        <w:rPr>
          <w:color w:val="auto"/>
        </w:rPr>
      </w:pPr>
      <w:r>
        <w:rPr>
          <w:rFonts w:hint="eastAsia" w:ascii="宋体" w:hAnsi="宋体"/>
          <w:color w:val="auto"/>
          <w:szCs w:val="21"/>
          <w:highlight w:val="none"/>
        </w:rPr>
        <w:t>2、采购标的对应的中小企业划分标准所属行业：根据《关于印发中小企业划型标准规定的通知》（工信部联企业〔2011〕300号），本次采购标的属于：其他未列明行业</w:t>
      </w:r>
      <w:r>
        <w:rPr>
          <w:rFonts w:hint="eastAsia" w:ascii="宋体" w:hAnsi="宋体"/>
          <w:color w:val="auto"/>
          <w:szCs w:val="21"/>
        </w:rPr>
        <w:t>。</w:t>
      </w:r>
    </w:p>
    <w:p w14:paraId="44138275">
      <w:pPr>
        <w:spacing w:line="400" w:lineRule="exact"/>
        <w:ind w:firstLine="316" w:firstLineChars="150"/>
        <w:jc w:val="left"/>
        <w:rPr>
          <w:rFonts w:ascii="宋体" w:hAnsi="宋体"/>
          <w:color w:val="auto"/>
          <w:szCs w:val="21"/>
          <w:highlight w:val="none"/>
        </w:rPr>
      </w:pPr>
      <w:r>
        <w:rPr>
          <w:rFonts w:hint="eastAsia" w:ascii="宋体" w:hAnsi="宋体" w:cs="Arial"/>
          <w:b/>
          <w:color w:val="auto"/>
          <w:szCs w:val="21"/>
          <w:highlight w:val="none"/>
        </w:rPr>
        <w:t>本项目采购预算：人民币</w:t>
      </w:r>
      <w:r>
        <w:rPr>
          <w:rFonts w:hint="eastAsia" w:ascii="宋体" w:hAnsi="宋体"/>
          <w:b/>
          <w:color w:val="auto"/>
          <w:highlight w:val="none"/>
          <w:lang w:val="en-US" w:eastAsia="zh-CN"/>
        </w:rPr>
        <w:t>30</w:t>
      </w:r>
      <w:r>
        <w:rPr>
          <w:rFonts w:hint="eastAsia" w:ascii="宋体" w:hAnsi="宋体"/>
          <w:b/>
          <w:color w:val="auto"/>
          <w:highlight w:val="none"/>
        </w:rPr>
        <w:t>万元</w:t>
      </w:r>
    </w:p>
    <w:tbl>
      <w:tblPr>
        <w:tblStyle w:val="20"/>
        <w:tblpPr w:leftFromText="180" w:rightFromText="180" w:vertAnchor="text" w:horzAnchor="page" w:tblpX="732" w:tblpY="376"/>
        <w:tblOverlap w:val="never"/>
        <w:tblW w:w="106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0"/>
        <w:gridCol w:w="1163"/>
        <w:gridCol w:w="332"/>
        <w:gridCol w:w="133"/>
        <w:gridCol w:w="585"/>
        <w:gridCol w:w="8054"/>
      </w:tblGrid>
      <w:tr w14:paraId="15656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390" w:type="dxa"/>
            <w:noWrap w:val="0"/>
            <w:vAlign w:val="center"/>
          </w:tcPr>
          <w:p w14:paraId="6A5A3A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项号</w:t>
            </w:r>
          </w:p>
        </w:tc>
        <w:tc>
          <w:tcPr>
            <w:tcW w:w="1163" w:type="dxa"/>
            <w:noWrap w:val="0"/>
            <w:vAlign w:val="center"/>
          </w:tcPr>
          <w:p w14:paraId="74D9E1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服务名称</w:t>
            </w:r>
          </w:p>
        </w:tc>
        <w:tc>
          <w:tcPr>
            <w:tcW w:w="465" w:type="dxa"/>
            <w:gridSpan w:val="2"/>
            <w:noWrap w:val="0"/>
            <w:vAlign w:val="center"/>
          </w:tcPr>
          <w:p w14:paraId="759856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数量</w:t>
            </w:r>
          </w:p>
        </w:tc>
        <w:tc>
          <w:tcPr>
            <w:tcW w:w="585" w:type="dxa"/>
            <w:noWrap w:val="0"/>
            <w:vAlign w:val="center"/>
          </w:tcPr>
          <w:p w14:paraId="1EA108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单位</w:t>
            </w:r>
          </w:p>
        </w:tc>
        <w:tc>
          <w:tcPr>
            <w:tcW w:w="8054" w:type="dxa"/>
            <w:noWrap w:val="0"/>
            <w:vAlign w:val="center"/>
          </w:tcPr>
          <w:p w14:paraId="3AFA0F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b/>
                <w:bCs/>
                <w:sz w:val="21"/>
                <w:szCs w:val="21"/>
                <w:highlight w:val="none"/>
              </w:rPr>
            </w:pPr>
            <w:r>
              <w:rPr>
                <w:rFonts w:hint="eastAsia" w:ascii="宋体" w:hAnsi="宋体" w:eastAsia="宋体" w:cs="宋体"/>
                <w:b/>
                <w:sz w:val="21"/>
                <w:szCs w:val="21"/>
                <w:highlight w:val="none"/>
              </w:rPr>
              <w:t>服务内容及技术参数要求</w:t>
            </w:r>
          </w:p>
        </w:tc>
      </w:tr>
      <w:tr w14:paraId="4B7DE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0" w:hRule="atLeast"/>
        </w:trPr>
        <w:tc>
          <w:tcPr>
            <w:tcW w:w="390" w:type="dxa"/>
            <w:noWrap w:val="0"/>
            <w:vAlign w:val="center"/>
          </w:tcPr>
          <w:p w14:paraId="6359F3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1163" w:type="dxa"/>
            <w:noWrap w:val="0"/>
            <w:vAlign w:val="center"/>
          </w:tcPr>
          <w:p w14:paraId="2C9FD8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南宁市2025年公办普惠托育机构能力提升</w:t>
            </w:r>
          </w:p>
        </w:tc>
        <w:tc>
          <w:tcPr>
            <w:tcW w:w="465" w:type="dxa"/>
            <w:gridSpan w:val="2"/>
            <w:noWrap w:val="0"/>
            <w:vAlign w:val="center"/>
          </w:tcPr>
          <w:p w14:paraId="0AA634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585" w:type="dxa"/>
            <w:noWrap w:val="0"/>
            <w:vAlign w:val="center"/>
          </w:tcPr>
          <w:p w14:paraId="0CA484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项</w:t>
            </w:r>
          </w:p>
        </w:tc>
        <w:tc>
          <w:tcPr>
            <w:tcW w:w="8054" w:type="dxa"/>
            <w:noWrap w:val="0"/>
            <w:vAlign w:val="center"/>
          </w:tcPr>
          <w:p w14:paraId="0B9E3498">
            <w:pPr>
              <w:pStyle w:val="17"/>
              <w:keepNext w:val="0"/>
              <w:keepLines w:val="0"/>
              <w:pageBreakBefore w:val="0"/>
              <w:widowControl w:val="0"/>
              <w:suppressLineNumbers w:val="0"/>
              <w:kinsoku/>
              <w:wordWrap/>
              <w:overflowPunct/>
              <w:topLinePunct w:val="0"/>
              <w:autoSpaceDE/>
              <w:autoSpaceDN/>
              <w:bidi w:val="0"/>
              <w:adjustRightInd/>
              <w:snapToGrid/>
              <w:spacing w:beforeAutospacing="0" w:afterAutospacing="0" w:line="380" w:lineRule="exact"/>
              <w:ind w:left="0" w:right="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一、项目基本概况及目标</w:t>
            </w:r>
          </w:p>
          <w:p w14:paraId="393EA5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为深入贯彻落实国家关于促进婴幼儿照护服务发展的相关政策精神，健全完善普惠托育服务体系，更好地满足西乡塘辖区内家庭对优质、规范、便捷托育服务的需求，促进婴幼儿健康成长，将坐落在广西壮族自治区南宁市西乡塘区安吉街道安阳路15号(安阳路与高新大道交叉口西北侧新希望锦官府8号楼一层）建筑面积363㎡的房屋，建立一所面向3岁以下婴幼儿托育服务的托育园。将婴幼儿照护、婴幼儿保健、早期发展、专业人才、技术指导等方面的专业资源优势，打造一所集“养育、照护、教育、保健”于一体的公办普惠性托育园，为婴幼儿提供科学、规范、健康的照护服务，同时探索医育结合新模式，形成可推广的典型经验。</w:t>
            </w:r>
          </w:p>
          <w:p w14:paraId="1C3BE007">
            <w:pPr>
              <w:pStyle w:val="17"/>
              <w:keepNext w:val="0"/>
              <w:keepLines w:val="0"/>
              <w:pageBreakBefore w:val="0"/>
              <w:widowControl w:val="0"/>
              <w:suppressLineNumbers w:val="0"/>
              <w:kinsoku/>
              <w:wordWrap/>
              <w:overflowPunct/>
              <w:topLinePunct w:val="0"/>
              <w:autoSpaceDE/>
              <w:autoSpaceDN/>
              <w:bidi w:val="0"/>
              <w:adjustRightInd/>
              <w:snapToGrid/>
              <w:spacing w:beforeAutospacing="0" w:afterAutospacing="0" w:line="380" w:lineRule="exact"/>
              <w:ind w:left="0" w:right="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二、益智能力提升</w:t>
            </w:r>
          </w:p>
          <w:p w14:paraId="3C03B5C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left="420" w:leftChars="0" w:right="0"/>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一</w:t>
            </w:r>
            <w:r>
              <w:rPr>
                <w:rFonts w:hint="eastAsia" w:ascii="宋体" w:hAnsi="宋体" w:eastAsia="宋体" w:cs="宋体"/>
                <w:b/>
                <w:bCs/>
                <w:sz w:val="21"/>
                <w:szCs w:val="21"/>
                <w:lang w:eastAsia="zh-CN"/>
              </w:rPr>
              <w:t>）</w:t>
            </w:r>
            <w:r>
              <w:rPr>
                <w:rFonts w:hint="eastAsia" w:ascii="宋体" w:hAnsi="宋体" w:eastAsia="宋体" w:cs="宋体"/>
                <w:b/>
                <w:bCs/>
                <w:sz w:val="21"/>
                <w:szCs w:val="21"/>
              </w:rPr>
              <w:t>科学益智区</w:t>
            </w:r>
          </w:p>
          <w:p w14:paraId="774CDB7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left="0" w:right="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规划利用约35㎡空间，定制设计打造一个科学益智区。</w:t>
            </w:r>
          </w:p>
          <w:p w14:paraId="32C41DC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left="0" w:right="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主题内容：</w:t>
            </w:r>
          </w:p>
          <w:p w14:paraId="551F0C3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left="0" w:right="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欢乐球道：综合多种机械原理及物理概念而设计的一款互动产品，使参与者在轻松、愉悦的体验中了解科学常识，如阿基米德螺旋原理，杠杆平衡原理，行星齿轮减速原理，重力，摩擦力，概率。通过多元化，多角度的表现，使产品具充实感，从而锻炼小朋友的观察能力，综合分析能力，手眼协调能力以及团队合作能力。</w:t>
            </w:r>
          </w:p>
          <w:p w14:paraId="467BEBA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left="0" w:right="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2.声光电主题墙</w:t>
            </w:r>
          </w:p>
          <w:p w14:paraId="2E684CD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left="0" w:right="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（1）无限深远：利用光学反射原理，孔内边壁亮起的灯珠，通过镜面的多次反射，使得灯珠的数量经过多次叠加延伸，能看见无限深远的光井。</w:t>
            </w:r>
          </w:p>
          <w:p w14:paraId="7F9C3BD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left="0" w:right="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（2）点阵拼图：在将电源开关开启后，墙内的LED即开始发光，在小孔内插入导光柱，即可将孔内的LED光源导出。</w:t>
            </w:r>
          </w:p>
          <w:p w14:paraId="5228606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left="0" w:right="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（3）3D全息：利用人类视觉暂留(POV)技术原理通过超高密度LED灯带动高度旋转成像，实现3D全息视觉增强效应、空气悬浮、全息立体的显示效果。</w:t>
            </w:r>
          </w:p>
          <w:p w14:paraId="19BB803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left="0" w:right="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（4）月相翻翻：利用8种方块展示月相变化可通过翻转的形式观察月相的变化。</w:t>
            </w:r>
          </w:p>
          <w:p w14:paraId="2307CDB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left="0" w:right="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（5）转盘小球：转动转盘使小球滚动，触发灯光感应，转盘背后灯光会亮，途中小球会撞击星星，触发星星亮灯。</w:t>
            </w:r>
          </w:p>
          <w:p w14:paraId="298B763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left="0" w:right="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（6）闪电魔盘：打开开关，用手指轻轻触摸魔盘会产生闪电状随手指的运动而变幻。还可按左面的按钮，会听到雷声，魔盘上的闪电会随着雷声变幻。</w:t>
            </w:r>
          </w:p>
          <w:p w14:paraId="730B4F9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left="0" w:right="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工艺材料要求：结合3岁以下婴幼儿身心特性，底板使用不低于15MM木板，具有较高的硬度和耐磨性，质地均匀细腻，纹理清晰美观，具有一定的光泽感；板面上使用HDPE板、亚克力板，精心打磨抛光处理，无结疤、无飞边毛刺。</w:t>
            </w:r>
          </w:p>
          <w:p w14:paraId="4EE1B74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left="420" w:leftChars="0" w:right="0"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二</w:t>
            </w:r>
            <w:r>
              <w:rPr>
                <w:rFonts w:hint="eastAsia" w:ascii="宋体" w:hAnsi="宋体" w:eastAsia="宋体" w:cs="宋体"/>
                <w:b/>
                <w:bCs/>
                <w:sz w:val="21"/>
                <w:szCs w:val="21"/>
                <w:lang w:eastAsia="zh-CN"/>
              </w:rPr>
              <w:t>）</w:t>
            </w:r>
            <w:r>
              <w:rPr>
                <w:rFonts w:hint="eastAsia" w:ascii="宋体" w:hAnsi="宋体" w:eastAsia="宋体" w:cs="宋体"/>
                <w:b/>
                <w:bCs/>
                <w:sz w:val="21"/>
                <w:szCs w:val="21"/>
              </w:rPr>
              <w:t>时</w:t>
            </w:r>
            <w:r>
              <w:rPr>
                <w:rFonts w:hint="eastAsia" w:ascii="宋体" w:hAnsi="宋体" w:eastAsia="宋体" w:cs="宋体"/>
                <w:b/>
                <w:bCs/>
                <w:sz w:val="21"/>
                <w:szCs w:val="21"/>
                <w:lang w:val="en-US" w:eastAsia="zh-CN"/>
              </w:rPr>
              <w:t>空</w:t>
            </w:r>
            <w:r>
              <w:rPr>
                <w:rFonts w:hint="eastAsia" w:ascii="宋体" w:hAnsi="宋体" w:eastAsia="宋体" w:cs="宋体"/>
                <w:b/>
                <w:bCs/>
                <w:sz w:val="21"/>
                <w:szCs w:val="21"/>
              </w:rPr>
              <w:t>隧道</w:t>
            </w:r>
          </w:p>
          <w:p w14:paraId="2476835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left="0" w:right="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规划利用约10㎡平方不规则空间，为幼儿定制设计打造一个充满梦幻感与探索感的沉浸式爬行游乐空间。</w:t>
            </w:r>
          </w:p>
          <w:p w14:paraId="7B09A07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left="0" w:right="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主题内容：</w:t>
            </w:r>
          </w:p>
          <w:p w14:paraId="2C9C4BF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left="0" w:right="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以星空浅黄色与太空蓝为主色调，墙面基底采用太空蓝，营造出宇宙空间的沉浸感，以绘本式插画呈现太空历史文化，儿童触摸时，感应灯带随即亮起并播放趣味太空知识音频；通过色彩、装置、互动与安全的深度融合，强化星空与太空主题，激发儿童探索欲的童趣星际探索空间。</w:t>
            </w:r>
          </w:p>
          <w:p w14:paraId="57628D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firstLine="420" w:firstLineChars="200"/>
              <w:textAlignment w:val="auto"/>
              <w:rPr>
                <w:rFonts w:hint="eastAsia" w:ascii="宋体" w:hAnsi="宋体" w:eastAsia="宋体" w:cs="宋体"/>
                <w:b w:val="0"/>
                <w:bCs/>
                <w:sz w:val="21"/>
                <w:szCs w:val="21"/>
                <w:lang w:val="en-US" w:eastAsia="zh-CN"/>
              </w:rPr>
            </w:pPr>
            <w:r>
              <w:rPr>
                <w:rFonts w:hint="eastAsia" w:ascii="宋体" w:hAnsi="宋体" w:eastAsia="宋体" w:cs="宋体"/>
                <w:sz w:val="21"/>
                <w:szCs w:val="21"/>
                <w:lang w:val="en-US" w:eastAsia="zh-CN"/>
              </w:rPr>
              <w:t>工艺材料要求：结合3岁以下婴幼儿身心特性，所有装置均采用软质材料、圆角工艺并做加固处理，精心打磨抛光处理，无结疤、无飞边毛刺。</w:t>
            </w:r>
          </w:p>
        </w:tc>
      </w:tr>
      <w:tr w14:paraId="2584D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0657" w:type="dxa"/>
            <w:gridSpan w:val="6"/>
            <w:noWrap w:val="0"/>
            <w:vAlign w:val="center"/>
          </w:tcPr>
          <w:p w14:paraId="2C4787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商务要求表</w:t>
            </w:r>
          </w:p>
        </w:tc>
      </w:tr>
      <w:tr w14:paraId="06B8F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885" w:type="dxa"/>
            <w:gridSpan w:val="3"/>
            <w:noWrap w:val="0"/>
            <w:vAlign w:val="center"/>
          </w:tcPr>
          <w:p w14:paraId="48AE5F6E">
            <w:pPr>
              <w:keepNext w:val="0"/>
              <w:keepLines w:val="0"/>
              <w:pageBreakBefore w:val="0"/>
              <w:widowControl w:val="0"/>
              <w:suppressLineNumbers w:val="0"/>
              <w:tabs>
                <w:tab w:val="left" w:pos="180"/>
                <w:tab w:val="left" w:pos="1620"/>
              </w:tabs>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color w:val="auto"/>
                <w:sz w:val="21"/>
                <w:szCs w:val="21"/>
                <w:highlight w:val="none"/>
              </w:rPr>
              <w:t>服务</w:t>
            </w:r>
            <w:r>
              <w:rPr>
                <w:rFonts w:hint="eastAsia" w:ascii="宋体" w:hAnsi="宋体" w:eastAsia="宋体" w:cs="宋体"/>
                <w:color w:val="auto"/>
                <w:sz w:val="21"/>
                <w:szCs w:val="21"/>
                <w:highlight w:val="none"/>
                <w:lang w:val="en-US" w:eastAsia="zh-CN"/>
              </w:rPr>
              <w:t>期限</w:t>
            </w:r>
            <w:r>
              <w:rPr>
                <w:rFonts w:hint="eastAsia" w:ascii="宋体" w:hAnsi="宋体" w:eastAsia="宋体" w:cs="宋体"/>
                <w:color w:val="auto"/>
                <w:sz w:val="21"/>
                <w:szCs w:val="21"/>
                <w:highlight w:val="none"/>
              </w:rPr>
              <w:t>及地点</w:t>
            </w:r>
          </w:p>
        </w:tc>
        <w:tc>
          <w:tcPr>
            <w:tcW w:w="8772" w:type="dxa"/>
            <w:gridSpan w:val="3"/>
            <w:noWrap w:val="0"/>
            <w:vAlign w:val="center"/>
          </w:tcPr>
          <w:p w14:paraId="3AA3A639">
            <w:pPr>
              <w:keepNext w:val="0"/>
              <w:keepLines w:val="0"/>
              <w:pageBreakBefore w:val="0"/>
              <w:widowControl w:val="0"/>
              <w:suppressLineNumbers w:val="0"/>
              <w:tabs>
                <w:tab w:val="left" w:pos="180"/>
                <w:tab w:val="left" w:pos="1620"/>
              </w:tabs>
              <w:kinsoku/>
              <w:wordWrap/>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服务</w:t>
            </w:r>
            <w:r>
              <w:rPr>
                <w:rFonts w:hint="eastAsia" w:ascii="宋体" w:hAnsi="宋体" w:eastAsia="宋体" w:cs="宋体"/>
                <w:color w:val="auto"/>
                <w:sz w:val="21"/>
                <w:szCs w:val="21"/>
                <w:highlight w:val="none"/>
                <w:lang w:val="en-US" w:eastAsia="zh-CN"/>
              </w:rPr>
              <w:t>期限</w:t>
            </w:r>
            <w:r>
              <w:rPr>
                <w:rFonts w:hint="eastAsia" w:ascii="宋体" w:hAnsi="宋体" w:eastAsia="宋体" w:cs="宋体"/>
                <w:color w:val="auto"/>
                <w:sz w:val="21"/>
                <w:szCs w:val="21"/>
                <w:highlight w:val="none"/>
              </w:rPr>
              <w:t>：自合同签订之日起</w:t>
            </w:r>
            <w:r>
              <w:rPr>
                <w:rFonts w:hint="eastAsia" w:ascii="宋体" w:hAnsi="宋体" w:eastAsia="宋体" w:cs="宋体"/>
                <w:color w:val="auto"/>
                <w:sz w:val="21"/>
                <w:szCs w:val="21"/>
                <w:highlight w:val="none"/>
                <w:lang w:val="en-US" w:eastAsia="zh-CN"/>
              </w:rPr>
              <w:t>5个工作</w:t>
            </w:r>
            <w:r>
              <w:rPr>
                <w:rFonts w:hint="eastAsia" w:ascii="宋体" w:hAnsi="宋体" w:eastAsia="宋体" w:cs="宋体"/>
                <w:color w:val="auto"/>
                <w:sz w:val="21"/>
                <w:szCs w:val="21"/>
                <w:highlight w:val="none"/>
              </w:rPr>
              <w:t>日内完成交货</w:t>
            </w:r>
            <w:r>
              <w:rPr>
                <w:rFonts w:hint="eastAsia" w:ascii="宋体" w:hAnsi="宋体" w:eastAsia="宋体" w:cs="宋体"/>
                <w:color w:val="auto"/>
                <w:sz w:val="21"/>
                <w:szCs w:val="21"/>
                <w:highlight w:val="none"/>
                <w:lang w:val="en-US" w:eastAsia="zh-CN"/>
              </w:rPr>
              <w:t>且验收合格</w:t>
            </w:r>
            <w:r>
              <w:rPr>
                <w:rFonts w:hint="eastAsia" w:ascii="宋体" w:hAnsi="宋体" w:eastAsia="宋体" w:cs="宋体"/>
                <w:color w:val="auto"/>
                <w:sz w:val="21"/>
                <w:szCs w:val="21"/>
                <w:highlight w:val="none"/>
              </w:rPr>
              <w:t>。</w:t>
            </w:r>
          </w:p>
          <w:p w14:paraId="7903FEEA">
            <w:pPr>
              <w:keepNext w:val="0"/>
              <w:keepLines w:val="0"/>
              <w:pageBreakBefore w:val="0"/>
              <w:widowControl w:val="0"/>
              <w:suppressLineNumbers w:val="0"/>
              <w:tabs>
                <w:tab w:val="left" w:pos="180"/>
                <w:tab w:val="left" w:pos="1620"/>
              </w:tabs>
              <w:kinsoku/>
              <w:wordWrap/>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b w:val="0"/>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服务地点：按采购人指定地点。</w:t>
            </w:r>
          </w:p>
        </w:tc>
      </w:tr>
      <w:tr w14:paraId="67EC9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85" w:type="dxa"/>
            <w:gridSpan w:val="3"/>
            <w:noWrap w:val="0"/>
            <w:vAlign w:val="center"/>
          </w:tcPr>
          <w:p w14:paraId="7145C590">
            <w:pPr>
              <w:keepNext w:val="0"/>
              <w:keepLines w:val="0"/>
              <w:pageBreakBefore w:val="0"/>
              <w:widowControl w:val="0"/>
              <w:suppressLineNumbers w:val="0"/>
              <w:tabs>
                <w:tab w:val="left" w:pos="180"/>
                <w:tab w:val="left" w:pos="1620"/>
              </w:tabs>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sz w:val="21"/>
                <w:szCs w:val="21"/>
              </w:rPr>
              <w:t>售后服务要求</w:t>
            </w:r>
          </w:p>
        </w:tc>
        <w:tc>
          <w:tcPr>
            <w:tcW w:w="8772" w:type="dxa"/>
            <w:gridSpan w:val="3"/>
            <w:noWrap w:val="0"/>
            <w:vAlign w:val="center"/>
          </w:tcPr>
          <w:p w14:paraId="273020EA">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1.售后服务技术人员要求：有专职人员负责售后服务，服务积极热情，能妥善处理各种售后问题。</w:t>
            </w:r>
          </w:p>
          <w:p w14:paraId="251F4D2C">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2.成交人必须承诺项目实施中的任何一个环节，如需修改调整，均无条件根据要求完善。如重大调整，双方沟通协商。</w:t>
            </w:r>
          </w:p>
        </w:tc>
      </w:tr>
      <w:tr w14:paraId="6E715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85" w:type="dxa"/>
            <w:gridSpan w:val="3"/>
            <w:noWrap w:val="0"/>
            <w:vAlign w:val="center"/>
          </w:tcPr>
          <w:p w14:paraId="627862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付款方式</w:t>
            </w:r>
          </w:p>
        </w:tc>
        <w:tc>
          <w:tcPr>
            <w:tcW w:w="8772" w:type="dxa"/>
            <w:gridSpan w:val="3"/>
            <w:noWrap w:val="0"/>
            <w:vAlign w:val="center"/>
          </w:tcPr>
          <w:p w14:paraId="56EC11E1">
            <w:pPr>
              <w:keepNext w:val="0"/>
              <w:keepLines w:val="0"/>
              <w:pageBreakBefore w:val="0"/>
              <w:widowControl w:val="0"/>
              <w:suppressLineNumbers w:val="0"/>
              <w:tabs>
                <w:tab w:val="left" w:pos="180"/>
                <w:tab w:val="left" w:pos="1620"/>
              </w:tabs>
              <w:kinsoku/>
              <w:wordWrap/>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本项目分</w:t>
            </w:r>
            <w:r>
              <w:rPr>
                <w:rFonts w:hint="eastAsia" w:ascii="宋体" w:hAnsi="宋体" w:cs="宋体"/>
                <w:color w:val="auto"/>
                <w:sz w:val="21"/>
                <w:szCs w:val="21"/>
                <w:highlight w:val="none"/>
                <w:lang w:val="en-US" w:eastAsia="zh-CN"/>
              </w:rPr>
              <w:t>三</w:t>
            </w:r>
            <w:r>
              <w:rPr>
                <w:rFonts w:hint="eastAsia" w:ascii="宋体" w:hAnsi="宋体" w:eastAsia="宋体" w:cs="宋体"/>
                <w:color w:val="auto"/>
                <w:sz w:val="21"/>
                <w:szCs w:val="21"/>
                <w:highlight w:val="none"/>
                <w:lang w:eastAsia="zh-CN"/>
              </w:rPr>
              <w:t>期付款：</w:t>
            </w:r>
          </w:p>
          <w:p w14:paraId="0B103995">
            <w:pPr>
              <w:keepNext w:val="0"/>
              <w:keepLines w:val="0"/>
              <w:pageBreakBefore w:val="0"/>
              <w:widowControl w:val="0"/>
              <w:suppressLineNumbers w:val="0"/>
              <w:tabs>
                <w:tab w:val="left" w:pos="180"/>
                <w:tab w:val="left" w:pos="1620"/>
              </w:tabs>
              <w:kinsoku/>
              <w:wordWrap/>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1.第一期：成交总金额的40%,支付条件：成交人与采购人签订采购合同后，成交人提交实施方案和工作计划，并获得采购人同意实施后，采购人收到成交人当期全额的合法发票后10个工作日内支付。</w:t>
            </w:r>
          </w:p>
          <w:p w14:paraId="4CCF09A4">
            <w:pPr>
              <w:keepNext w:val="0"/>
              <w:keepLines w:val="0"/>
              <w:pageBreakBefore w:val="0"/>
              <w:widowControl w:val="0"/>
              <w:suppressLineNumbers w:val="0"/>
              <w:tabs>
                <w:tab w:val="left" w:pos="180"/>
                <w:tab w:val="left" w:pos="1620"/>
              </w:tabs>
              <w:kinsoku/>
              <w:wordWrap/>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2.第二期：成交总金额的</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0%,支付条件：</w:t>
            </w:r>
            <w:r>
              <w:rPr>
                <w:rFonts w:hint="eastAsia" w:ascii="宋体" w:hAnsi="宋体" w:cs="宋体"/>
                <w:color w:val="auto"/>
                <w:sz w:val="21"/>
                <w:szCs w:val="21"/>
                <w:highlight w:val="none"/>
                <w:lang w:val="en-US" w:eastAsia="zh-CN"/>
              </w:rPr>
              <w:t>中标供应商提供实施方案</w:t>
            </w:r>
            <w:r>
              <w:rPr>
                <w:rFonts w:hint="eastAsia" w:ascii="宋体" w:hAnsi="宋体" w:eastAsia="宋体" w:cs="宋体"/>
                <w:color w:val="auto"/>
                <w:sz w:val="21"/>
                <w:szCs w:val="21"/>
                <w:highlight w:val="none"/>
                <w:lang w:eastAsia="zh-CN"/>
              </w:rPr>
              <w:t>并经采购人</w:t>
            </w:r>
            <w:r>
              <w:rPr>
                <w:rFonts w:hint="eastAsia" w:ascii="宋体" w:hAnsi="宋体" w:cs="宋体"/>
                <w:color w:val="auto"/>
                <w:sz w:val="21"/>
                <w:szCs w:val="21"/>
                <w:highlight w:val="none"/>
                <w:lang w:val="en-US" w:eastAsia="zh-CN"/>
              </w:rPr>
              <w:t>确认</w:t>
            </w:r>
            <w:r>
              <w:rPr>
                <w:rFonts w:hint="eastAsia" w:ascii="宋体" w:hAnsi="宋体" w:eastAsia="宋体" w:cs="宋体"/>
                <w:color w:val="auto"/>
                <w:sz w:val="21"/>
                <w:szCs w:val="21"/>
                <w:highlight w:val="none"/>
                <w:lang w:eastAsia="zh-CN"/>
              </w:rPr>
              <w:t>合格后，采购人收到成交人当期全额的合法发票后的10个工作日内支付。</w:t>
            </w:r>
          </w:p>
          <w:p w14:paraId="31A92828">
            <w:pPr>
              <w:keepNext w:val="0"/>
              <w:keepLines w:val="0"/>
              <w:pageBreakBefore w:val="0"/>
              <w:widowControl w:val="0"/>
              <w:suppressLineNumbers w:val="0"/>
              <w:tabs>
                <w:tab w:val="left" w:pos="180"/>
                <w:tab w:val="left" w:pos="1620"/>
              </w:tabs>
              <w:kinsoku/>
              <w:wordWrap/>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.第</w:t>
            </w:r>
            <w:r>
              <w:rPr>
                <w:rFonts w:hint="eastAsia" w:ascii="宋体" w:hAnsi="宋体" w:cs="宋体"/>
                <w:color w:val="auto"/>
                <w:sz w:val="21"/>
                <w:szCs w:val="21"/>
                <w:highlight w:val="none"/>
                <w:lang w:val="en-US" w:eastAsia="zh-CN"/>
              </w:rPr>
              <w:t>三</w:t>
            </w:r>
            <w:r>
              <w:rPr>
                <w:rFonts w:hint="eastAsia" w:ascii="宋体" w:hAnsi="宋体" w:eastAsia="宋体" w:cs="宋体"/>
                <w:color w:val="auto"/>
                <w:sz w:val="21"/>
                <w:szCs w:val="21"/>
                <w:highlight w:val="none"/>
                <w:lang w:eastAsia="zh-CN"/>
              </w:rPr>
              <w:t>期：成交总金额的</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0%,支付条件：服务完成并经采购人验收合格后，采购人收到成交人当期全额的合法发票后的10个工作日内支付。</w:t>
            </w:r>
          </w:p>
        </w:tc>
      </w:tr>
      <w:tr w14:paraId="05971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85" w:type="dxa"/>
            <w:gridSpan w:val="3"/>
            <w:noWrap w:val="0"/>
            <w:vAlign w:val="center"/>
          </w:tcPr>
          <w:p w14:paraId="0F4A7B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报价</w:t>
            </w:r>
            <w:r>
              <w:rPr>
                <w:rFonts w:hint="eastAsia" w:ascii="宋体" w:hAnsi="宋体" w:eastAsia="宋体" w:cs="宋体"/>
                <w:color w:val="auto"/>
                <w:sz w:val="21"/>
                <w:szCs w:val="21"/>
                <w:highlight w:val="none"/>
              </w:rPr>
              <w:t>要求</w:t>
            </w:r>
          </w:p>
        </w:tc>
        <w:tc>
          <w:tcPr>
            <w:tcW w:w="8772" w:type="dxa"/>
            <w:gridSpan w:val="3"/>
            <w:noWrap w:val="0"/>
            <w:vAlign w:val="center"/>
          </w:tcPr>
          <w:p w14:paraId="1519FEA7">
            <w:pPr>
              <w:keepNext w:val="0"/>
              <w:keepLines w:val="0"/>
              <w:suppressLineNumbers w:val="0"/>
              <w:snapToGrid w:val="0"/>
              <w:spacing w:before="0" w:beforeAutospacing="0" w:after="0" w:afterAutospacing="0" w:line="38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竞标总报价以人民币报价，包含但不限于以下内容：</w:t>
            </w:r>
          </w:p>
          <w:p w14:paraId="2CC3A02F">
            <w:pPr>
              <w:keepNext w:val="0"/>
              <w:keepLines w:val="0"/>
              <w:suppressLineNumbers w:val="0"/>
              <w:snapToGrid w:val="0"/>
              <w:spacing w:before="0" w:beforeAutospacing="0" w:after="0" w:afterAutospacing="0" w:line="38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服务</w:t>
            </w:r>
            <w:r>
              <w:rPr>
                <w:rFonts w:hint="eastAsia" w:ascii="宋体" w:hAnsi="宋体" w:cs="宋体"/>
                <w:color w:val="auto"/>
                <w:szCs w:val="21"/>
                <w:highlight w:val="none"/>
                <w:lang w:val="en-US" w:eastAsia="zh-CN"/>
              </w:rPr>
              <w:t>和材料</w:t>
            </w:r>
            <w:r>
              <w:rPr>
                <w:rFonts w:hint="eastAsia" w:ascii="宋体" w:hAnsi="宋体" w:cs="宋体"/>
                <w:color w:val="auto"/>
                <w:szCs w:val="21"/>
                <w:highlight w:val="none"/>
              </w:rPr>
              <w:t>的价格；</w:t>
            </w:r>
          </w:p>
          <w:p w14:paraId="79C58170">
            <w:pPr>
              <w:keepNext w:val="0"/>
              <w:keepLines w:val="0"/>
              <w:suppressLineNumbers w:val="0"/>
              <w:snapToGrid w:val="0"/>
              <w:spacing w:before="0" w:beforeAutospacing="0" w:after="0" w:afterAutospacing="0" w:line="38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必要的</w:t>
            </w:r>
            <w:r>
              <w:rPr>
                <w:rFonts w:hint="eastAsia" w:ascii="宋体" w:hAnsi="宋体" w:cs="宋体"/>
                <w:color w:val="auto"/>
                <w:szCs w:val="21"/>
                <w:highlight w:val="none"/>
                <w:lang w:val="en-US" w:eastAsia="zh-CN"/>
              </w:rPr>
              <w:t>差旅费</w:t>
            </w:r>
            <w:r>
              <w:rPr>
                <w:rFonts w:hint="eastAsia" w:ascii="宋体" w:hAnsi="宋体" w:cs="宋体"/>
                <w:color w:val="auto"/>
                <w:szCs w:val="21"/>
                <w:highlight w:val="none"/>
              </w:rPr>
              <w:t>用和各项税金；</w:t>
            </w:r>
          </w:p>
          <w:p w14:paraId="0386A4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其他（如运输、装卸、安装、调试、培训、技术支持、售后服务、</w:t>
            </w:r>
            <w:r>
              <w:rPr>
                <w:rFonts w:hint="eastAsia" w:ascii="宋体" w:hAnsi="宋体" w:cs="宋体"/>
                <w:color w:val="auto"/>
                <w:szCs w:val="21"/>
                <w:highlight w:val="none"/>
                <w:lang w:val="en-US" w:eastAsia="zh-CN"/>
              </w:rPr>
              <w:t>人工</w:t>
            </w:r>
            <w:r>
              <w:rPr>
                <w:rFonts w:hint="eastAsia" w:ascii="宋体" w:hAnsi="宋体" w:cs="宋体"/>
                <w:color w:val="auto"/>
                <w:szCs w:val="21"/>
                <w:highlight w:val="none"/>
              </w:rPr>
              <w:t>等费用）。因磋商供应商自身原因造成漏报、少报皆由磋商供应商自行承担责任，采购人不再补偿。除政策性文件规定以外，磋商供应商所报价格在合同实施期间不因市场变化因素而变动。</w:t>
            </w:r>
          </w:p>
        </w:tc>
      </w:tr>
      <w:tr w14:paraId="0B962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85" w:type="dxa"/>
            <w:gridSpan w:val="3"/>
            <w:noWrap w:val="0"/>
            <w:vAlign w:val="center"/>
          </w:tcPr>
          <w:p w14:paraId="3EECD0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color w:val="auto"/>
                <w:sz w:val="21"/>
                <w:szCs w:val="21"/>
                <w:highlight w:val="none"/>
                <w:lang w:val="en-US" w:eastAsia="zh-CN"/>
              </w:rPr>
              <w:t>验收要求</w:t>
            </w:r>
          </w:p>
        </w:tc>
        <w:tc>
          <w:tcPr>
            <w:tcW w:w="8772" w:type="dxa"/>
            <w:gridSpan w:val="3"/>
            <w:noWrap w:val="0"/>
            <w:vAlign w:val="center"/>
          </w:tcPr>
          <w:p w14:paraId="16B416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本项目采购标的需执行国家相关标准、行业标准、地方标准或其他强制性标准、规范等要求。</w:t>
            </w:r>
          </w:p>
        </w:tc>
      </w:tr>
      <w:tr w14:paraId="6E74B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10657" w:type="dxa"/>
            <w:gridSpan w:val="6"/>
            <w:noWrap w:val="0"/>
            <w:vAlign w:val="center"/>
          </w:tcPr>
          <w:p w14:paraId="77010B43">
            <w:pPr>
              <w:keepNext w:val="0"/>
              <w:keepLines w:val="0"/>
              <w:pageBreakBefore w:val="0"/>
              <w:widowControl w:val="0"/>
              <w:suppressLineNumbers w:val="0"/>
              <w:tabs>
                <w:tab w:val="left" w:pos="180"/>
                <w:tab w:val="left" w:pos="1620"/>
              </w:tabs>
              <w:kinsoku/>
              <w:wordWrap/>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rPr>
              <w:t>磋商小组根据与供应商磋商情况可能实质性变动的内容</w:t>
            </w:r>
          </w:p>
          <w:p w14:paraId="6254C2B7">
            <w:pPr>
              <w:keepNext w:val="0"/>
              <w:keepLines w:val="0"/>
              <w:pageBreakBefore w:val="0"/>
              <w:widowControl w:val="0"/>
              <w:suppressLineNumbers w:val="0"/>
              <w:tabs>
                <w:tab w:val="left" w:pos="180"/>
                <w:tab w:val="left" w:pos="1620"/>
              </w:tabs>
              <w:kinsoku/>
              <w:wordWrap/>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bCs/>
                <w:sz w:val="21"/>
                <w:szCs w:val="21"/>
                <w:highlight w:val="none"/>
              </w:rPr>
            </w:pPr>
            <w:r>
              <w:rPr>
                <w:rFonts w:hint="eastAsia" w:ascii="宋体" w:hAnsi="宋体" w:eastAsia="宋体" w:cs="宋体"/>
                <w:color w:val="auto"/>
                <w:sz w:val="21"/>
                <w:szCs w:val="21"/>
                <w:highlight w:val="none"/>
              </w:rPr>
              <w:t>未标识‘▲’及未表述为“须”或“必须”的采购项目技术规格、参数及要求。</w:t>
            </w:r>
          </w:p>
        </w:tc>
      </w:tr>
    </w:tbl>
    <w:p w14:paraId="17759D25">
      <w:pPr>
        <w:spacing w:line="400" w:lineRule="exact"/>
        <w:ind w:firstLine="316" w:firstLineChars="150"/>
        <w:jc w:val="left"/>
        <w:rPr>
          <w:rFonts w:hint="eastAsia" w:ascii="宋体" w:hAnsi="宋体"/>
          <w:b/>
          <w:highlight w:val="none"/>
        </w:rPr>
      </w:pPr>
    </w:p>
    <w:p w14:paraId="68E71C85">
      <w:pPr>
        <w:spacing w:line="400" w:lineRule="exact"/>
        <w:ind w:firstLine="316" w:firstLineChars="150"/>
        <w:jc w:val="left"/>
        <w:rPr>
          <w:rFonts w:hint="eastAsia" w:ascii="宋体" w:hAnsi="宋体"/>
          <w:b/>
          <w:highlight w:val="none"/>
        </w:rPr>
      </w:pPr>
    </w:p>
    <w:p w14:paraId="2476AD4F">
      <w:pPr>
        <w:rPr>
          <w:rFonts w:hint="eastAsia" w:ascii="宋体" w:hAnsi="宋体"/>
          <w:b/>
          <w:highlight w:val="none"/>
        </w:rPr>
      </w:pPr>
      <w:r>
        <w:rPr>
          <w:rFonts w:hint="eastAsia" w:ascii="宋体" w:hAnsi="宋体"/>
          <w:b/>
          <w:highlight w:val="none"/>
        </w:rPr>
        <w:br w:type="page"/>
      </w:r>
    </w:p>
    <w:p w14:paraId="4D8AA3B9">
      <w:pPr>
        <w:pStyle w:val="11"/>
        <w:rPr>
          <w:rFonts w:ascii="宋体" w:hAnsi="宋体"/>
          <w:b/>
          <w:szCs w:val="32"/>
          <w:highlight w:val="none"/>
        </w:rPr>
      </w:pPr>
    </w:p>
    <w:p w14:paraId="5A4C7770">
      <w:pPr>
        <w:pStyle w:val="11"/>
        <w:rPr>
          <w:rFonts w:ascii="宋体" w:hAnsi="宋体"/>
          <w:b/>
          <w:szCs w:val="32"/>
          <w:highlight w:val="none"/>
        </w:rPr>
      </w:pPr>
    </w:p>
    <w:p w14:paraId="0995E247">
      <w:pPr>
        <w:pStyle w:val="11"/>
        <w:rPr>
          <w:rFonts w:ascii="宋体" w:hAnsi="宋体"/>
          <w:b/>
          <w:szCs w:val="32"/>
          <w:highlight w:val="none"/>
        </w:rPr>
      </w:pPr>
    </w:p>
    <w:p w14:paraId="45CAD83B">
      <w:pPr>
        <w:pStyle w:val="11"/>
        <w:rPr>
          <w:rFonts w:ascii="宋体" w:hAnsi="宋体"/>
          <w:b/>
          <w:szCs w:val="32"/>
          <w:highlight w:val="none"/>
        </w:rPr>
      </w:pPr>
    </w:p>
    <w:p w14:paraId="10400649">
      <w:pPr>
        <w:pStyle w:val="11"/>
        <w:rPr>
          <w:rFonts w:ascii="宋体" w:hAnsi="宋体"/>
          <w:b/>
          <w:szCs w:val="32"/>
          <w:highlight w:val="none"/>
        </w:rPr>
      </w:pPr>
    </w:p>
    <w:p w14:paraId="4ADD4A98">
      <w:pPr>
        <w:pStyle w:val="11"/>
        <w:rPr>
          <w:rFonts w:ascii="宋体" w:hAnsi="宋体"/>
          <w:b/>
          <w:szCs w:val="32"/>
          <w:highlight w:val="none"/>
        </w:rPr>
      </w:pPr>
    </w:p>
    <w:p w14:paraId="6A486908">
      <w:pPr>
        <w:pStyle w:val="11"/>
        <w:rPr>
          <w:rFonts w:ascii="宋体" w:hAnsi="宋体"/>
          <w:b/>
          <w:szCs w:val="32"/>
          <w:highlight w:val="none"/>
        </w:rPr>
      </w:pPr>
    </w:p>
    <w:p w14:paraId="7131806E">
      <w:pPr>
        <w:pStyle w:val="11"/>
        <w:rPr>
          <w:rFonts w:ascii="宋体" w:hAnsi="宋体"/>
          <w:b/>
          <w:szCs w:val="32"/>
          <w:highlight w:val="none"/>
        </w:rPr>
      </w:pPr>
    </w:p>
    <w:p w14:paraId="509E44F3">
      <w:pPr>
        <w:spacing w:line="400" w:lineRule="exact"/>
        <w:jc w:val="center"/>
        <w:rPr>
          <w:rFonts w:ascii="宋体" w:hAnsi="宋体"/>
          <w:b/>
          <w:sz w:val="32"/>
          <w:szCs w:val="32"/>
          <w:highlight w:val="none"/>
        </w:rPr>
      </w:pPr>
    </w:p>
    <w:p w14:paraId="41D9376E">
      <w:pPr>
        <w:pStyle w:val="17"/>
        <w:rPr>
          <w:sz w:val="44"/>
          <w:szCs w:val="44"/>
          <w:highlight w:val="none"/>
        </w:rPr>
      </w:pPr>
      <w:bookmarkStart w:id="52" w:name="_Toc476258759"/>
      <w:bookmarkStart w:id="53" w:name="_Toc476258665"/>
      <w:r>
        <w:rPr>
          <w:rFonts w:hint="eastAsia"/>
          <w:sz w:val="44"/>
          <w:szCs w:val="44"/>
          <w:highlight w:val="none"/>
        </w:rPr>
        <w:t>第四章  竞争性磋商响应文件格式</w:t>
      </w:r>
      <w:bookmarkEnd w:id="52"/>
      <w:bookmarkEnd w:id="53"/>
    </w:p>
    <w:p w14:paraId="5ADF7A12">
      <w:pPr>
        <w:spacing w:line="500" w:lineRule="exact"/>
        <w:jc w:val="center"/>
        <w:rPr>
          <w:rFonts w:ascii="仿宋_GB2312" w:hAnsi="宋体" w:eastAsia="仿宋_GB2312"/>
          <w:b/>
          <w:sz w:val="32"/>
          <w:szCs w:val="32"/>
          <w:highlight w:val="none"/>
        </w:rPr>
      </w:pPr>
    </w:p>
    <w:p w14:paraId="5F6478B9">
      <w:pPr>
        <w:spacing w:line="720" w:lineRule="auto"/>
        <w:jc w:val="center"/>
        <w:rPr>
          <w:rFonts w:ascii="宋体" w:hAnsi="宋体"/>
          <w:b/>
          <w:bCs/>
          <w:sz w:val="30"/>
          <w:szCs w:val="30"/>
          <w:highlight w:val="none"/>
        </w:rPr>
      </w:pPr>
      <w:r>
        <w:rPr>
          <w:rFonts w:ascii="仿宋_GB2312" w:hAnsi="宋体" w:eastAsia="仿宋_GB2312"/>
          <w:b/>
          <w:sz w:val="32"/>
          <w:szCs w:val="32"/>
          <w:highlight w:val="none"/>
        </w:rPr>
        <w:br w:type="page"/>
      </w:r>
      <w:r>
        <w:rPr>
          <w:rFonts w:hint="eastAsia" w:ascii="宋体" w:hAnsi="宋体"/>
          <w:b/>
          <w:bCs/>
          <w:sz w:val="30"/>
          <w:szCs w:val="30"/>
          <w:highlight w:val="none"/>
        </w:rPr>
        <w:t>一、</w:t>
      </w:r>
      <w:r>
        <w:rPr>
          <w:rFonts w:hint="eastAsia"/>
          <w:b/>
          <w:sz w:val="30"/>
          <w:szCs w:val="30"/>
          <w:highlight w:val="none"/>
        </w:rPr>
        <w:t>竞争性磋商响应文件</w:t>
      </w:r>
      <w:r>
        <w:rPr>
          <w:rFonts w:hint="eastAsia" w:ascii="宋体" w:hAnsi="宋体"/>
          <w:b/>
          <w:sz w:val="30"/>
          <w:szCs w:val="30"/>
          <w:highlight w:val="none"/>
        </w:rPr>
        <w:t>封面</w:t>
      </w:r>
      <w:r>
        <w:rPr>
          <w:rFonts w:hint="eastAsia" w:ascii="宋体" w:hAnsi="宋体"/>
          <w:b/>
          <w:bCs/>
          <w:sz w:val="30"/>
          <w:szCs w:val="30"/>
          <w:highlight w:val="none"/>
        </w:rPr>
        <w:t>格式</w:t>
      </w:r>
    </w:p>
    <w:p w14:paraId="12AB7F12">
      <w:pPr>
        <w:spacing w:line="240" w:lineRule="atLeast"/>
        <w:rPr>
          <w:rFonts w:ascii="仿宋_GB2312" w:hAnsi="宋体" w:eastAsia="仿宋_GB2312"/>
          <w:b/>
          <w:sz w:val="32"/>
          <w:szCs w:val="32"/>
          <w:highlight w:val="none"/>
          <w:u w:val="single"/>
        </w:rPr>
      </w:pPr>
    </w:p>
    <w:p w14:paraId="518F5C90">
      <w:pPr>
        <w:spacing w:line="240" w:lineRule="atLeast"/>
        <w:rPr>
          <w:rFonts w:ascii="仿宋_GB2312" w:hAnsi="宋体" w:eastAsia="仿宋_GB2312"/>
          <w:b/>
          <w:sz w:val="32"/>
          <w:szCs w:val="32"/>
          <w:highlight w:val="none"/>
        </w:rPr>
      </w:pPr>
      <w:r>
        <w:rPr>
          <w:rFonts w:hint="eastAsia" w:ascii="仿宋_GB2312" w:hAnsi="宋体" w:eastAsia="仿宋_GB2312"/>
          <w:b/>
          <w:sz w:val="32"/>
          <w:szCs w:val="32"/>
          <w:highlight w:val="none"/>
          <w:u w:val="single"/>
        </w:rPr>
        <w:t xml:space="preserve">   </w:t>
      </w:r>
      <w:r>
        <w:rPr>
          <w:rFonts w:hint="eastAsia" w:ascii="仿宋_GB2312" w:hAnsi="宋体" w:eastAsia="仿宋_GB2312"/>
          <w:b/>
          <w:sz w:val="32"/>
          <w:szCs w:val="32"/>
          <w:highlight w:val="none"/>
        </w:rPr>
        <w:t>本</w:t>
      </w:r>
    </w:p>
    <w:p w14:paraId="3ED18E48">
      <w:pPr>
        <w:snapToGrid w:val="0"/>
        <w:spacing w:before="156" w:beforeLines="50" w:after="50" w:line="360" w:lineRule="exact"/>
        <w:ind w:left="8400" w:hanging="8400" w:hangingChars="3000"/>
        <w:rPr>
          <w:rFonts w:ascii="仿宋_GB2312" w:hAnsi="宋体" w:eastAsia="仿宋_GB2312"/>
          <w:bCs/>
          <w:sz w:val="28"/>
          <w:szCs w:val="28"/>
          <w:highlight w:val="none"/>
        </w:rPr>
      </w:pPr>
    </w:p>
    <w:p w14:paraId="7C857C69">
      <w:pPr>
        <w:snapToGrid w:val="0"/>
        <w:spacing w:before="156" w:beforeLines="50" w:after="50" w:line="360" w:lineRule="exact"/>
        <w:jc w:val="center"/>
        <w:rPr>
          <w:rFonts w:ascii="仿宋_GB2312" w:hAnsi="宋体" w:eastAsia="仿宋_GB2312"/>
          <w:bCs/>
          <w:sz w:val="24"/>
          <w:highlight w:val="none"/>
        </w:rPr>
      </w:pPr>
      <w:r>
        <w:rPr>
          <w:rFonts w:hint="eastAsia" w:ascii="仿宋_GB2312" w:hAnsi="宋体" w:eastAsia="仿宋_GB2312"/>
          <w:b/>
          <w:sz w:val="44"/>
          <w:szCs w:val="44"/>
          <w:highlight w:val="none"/>
        </w:rPr>
        <w:t>竞争性磋商响应文件</w:t>
      </w:r>
      <w:r>
        <w:rPr>
          <w:rFonts w:hint="eastAsia" w:ascii="仿宋_GB2312" w:hAnsi="宋体" w:eastAsia="仿宋_GB2312"/>
          <w:sz w:val="28"/>
          <w:szCs w:val="28"/>
          <w:highlight w:val="none"/>
        </w:rPr>
        <w:t>（封面）</w:t>
      </w:r>
    </w:p>
    <w:p w14:paraId="750849BA">
      <w:pPr>
        <w:spacing w:line="500" w:lineRule="exact"/>
        <w:ind w:firstLine="420" w:firstLineChars="200"/>
        <w:rPr>
          <w:rFonts w:ascii="宋体" w:hAnsi="宋体"/>
          <w:szCs w:val="21"/>
          <w:highlight w:val="none"/>
        </w:rPr>
      </w:pPr>
    </w:p>
    <w:p w14:paraId="52CB3E11">
      <w:pPr>
        <w:spacing w:line="500" w:lineRule="exact"/>
        <w:ind w:firstLine="420" w:firstLineChars="200"/>
        <w:rPr>
          <w:rFonts w:ascii="宋体" w:hAnsi="宋体"/>
          <w:szCs w:val="21"/>
          <w:highlight w:val="none"/>
        </w:rPr>
      </w:pPr>
    </w:p>
    <w:p w14:paraId="739EA9CE">
      <w:pPr>
        <w:spacing w:line="500" w:lineRule="exact"/>
        <w:ind w:firstLine="420" w:firstLineChars="200"/>
        <w:rPr>
          <w:rFonts w:ascii="宋体" w:hAnsi="宋体"/>
          <w:szCs w:val="21"/>
          <w:highlight w:val="none"/>
        </w:rPr>
      </w:pPr>
    </w:p>
    <w:p w14:paraId="7BA8378F">
      <w:pPr>
        <w:spacing w:line="600" w:lineRule="auto"/>
        <w:ind w:firstLine="420" w:firstLineChars="200"/>
        <w:jc w:val="left"/>
        <w:rPr>
          <w:rFonts w:ascii="宋体" w:hAnsi="宋体"/>
          <w:sz w:val="28"/>
          <w:szCs w:val="28"/>
          <w:highlight w:val="none"/>
          <w:u w:val="single"/>
        </w:rPr>
      </w:pPr>
      <w:r>
        <w:rPr>
          <w:rFonts w:hint="eastAsia" w:ascii="宋体" w:hAnsi="宋体"/>
          <w:szCs w:val="21"/>
          <w:highlight w:val="none"/>
        </w:rPr>
        <w:t xml:space="preserve">        </w:t>
      </w:r>
      <w:r>
        <w:rPr>
          <w:rFonts w:hint="eastAsia" w:ascii="宋体" w:hAnsi="宋体"/>
          <w:sz w:val="28"/>
          <w:szCs w:val="28"/>
          <w:highlight w:val="none"/>
        </w:rPr>
        <w:t xml:space="preserve"> 采购项目名称：</w:t>
      </w:r>
      <w:r>
        <w:rPr>
          <w:rFonts w:hint="eastAsia" w:ascii="宋体" w:hAnsi="宋体"/>
          <w:sz w:val="28"/>
          <w:szCs w:val="28"/>
          <w:highlight w:val="none"/>
          <w:u w:val="single"/>
        </w:rPr>
        <w:t xml:space="preserve">                          </w:t>
      </w:r>
    </w:p>
    <w:p w14:paraId="458A45AF">
      <w:pPr>
        <w:spacing w:line="600" w:lineRule="auto"/>
        <w:rPr>
          <w:highlight w:val="none"/>
        </w:rPr>
      </w:pPr>
      <w:r>
        <w:rPr>
          <w:rFonts w:hint="eastAsia"/>
          <w:highlight w:val="none"/>
        </w:rPr>
        <w:t xml:space="preserve"> </w:t>
      </w:r>
      <w:r>
        <w:rPr>
          <w:rFonts w:hint="eastAsia" w:ascii="宋体" w:hAnsi="宋体"/>
          <w:sz w:val="28"/>
          <w:szCs w:val="28"/>
          <w:highlight w:val="none"/>
        </w:rPr>
        <w:t xml:space="preserve">         采购项目编号：</w:t>
      </w:r>
      <w:r>
        <w:rPr>
          <w:rFonts w:hint="eastAsia" w:ascii="宋体" w:hAnsi="宋体"/>
          <w:sz w:val="28"/>
          <w:szCs w:val="28"/>
          <w:highlight w:val="none"/>
          <w:u w:val="single"/>
        </w:rPr>
        <w:t xml:space="preserve">    </w:t>
      </w:r>
      <w:r>
        <w:rPr>
          <w:rFonts w:hint="eastAsia"/>
          <w:highlight w:val="none"/>
          <w:u w:val="single"/>
        </w:rPr>
        <w:t xml:space="preserve">                             </w:t>
      </w:r>
    </w:p>
    <w:p w14:paraId="5D60F19C">
      <w:pPr>
        <w:spacing w:line="600" w:lineRule="auto"/>
        <w:ind w:firstLine="560" w:firstLineChars="200"/>
        <w:rPr>
          <w:rFonts w:ascii="宋体" w:hAnsi="宋体"/>
          <w:sz w:val="28"/>
          <w:szCs w:val="28"/>
          <w:highlight w:val="none"/>
          <w:u w:val="single"/>
        </w:rPr>
      </w:pPr>
      <w:r>
        <w:rPr>
          <w:rFonts w:hint="eastAsia"/>
          <w:bCs/>
          <w:sz w:val="28"/>
          <w:szCs w:val="28"/>
          <w:highlight w:val="none"/>
        </w:rPr>
        <w:t xml:space="preserve">      分标号（如有）</w:t>
      </w:r>
      <w:r>
        <w:rPr>
          <w:rFonts w:hint="eastAsia" w:ascii="宋体" w:hAnsi="宋体"/>
          <w:sz w:val="28"/>
          <w:szCs w:val="28"/>
          <w:highlight w:val="none"/>
        </w:rPr>
        <w:t>：</w:t>
      </w:r>
      <w:r>
        <w:rPr>
          <w:rFonts w:hint="eastAsia" w:ascii="宋体" w:hAnsi="宋体"/>
          <w:sz w:val="28"/>
          <w:szCs w:val="28"/>
          <w:highlight w:val="none"/>
          <w:u w:val="single"/>
        </w:rPr>
        <w:t xml:space="preserve">                         </w:t>
      </w:r>
    </w:p>
    <w:p w14:paraId="76002308">
      <w:pPr>
        <w:snapToGrid w:val="0"/>
        <w:spacing w:before="156" w:beforeLines="50" w:after="50" w:line="600" w:lineRule="auto"/>
        <w:ind w:firstLine="560" w:firstLineChars="200"/>
        <w:rPr>
          <w:rFonts w:ascii="宋体" w:hAnsi="宋体"/>
          <w:bCs/>
          <w:sz w:val="28"/>
          <w:szCs w:val="28"/>
          <w:highlight w:val="none"/>
        </w:rPr>
      </w:pPr>
      <w:r>
        <w:rPr>
          <w:rFonts w:hint="eastAsia" w:ascii="宋体" w:hAnsi="宋体"/>
          <w:sz w:val="28"/>
          <w:szCs w:val="28"/>
          <w:highlight w:val="none"/>
        </w:rPr>
        <w:t xml:space="preserve">      磋商供应商名称</w:t>
      </w:r>
      <w:r>
        <w:rPr>
          <w:rFonts w:hint="eastAsia" w:ascii="宋体" w:hAnsi="宋体"/>
          <w:bCs/>
          <w:sz w:val="28"/>
          <w:szCs w:val="28"/>
          <w:highlight w:val="none"/>
        </w:rPr>
        <w:t>：</w:t>
      </w:r>
      <w:r>
        <w:rPr>
          <w:rFonts w:hint="eastAsia" w:ascii="宋体" w:hAnsi="宋体"/>
          <w:sz w:val="28"/>
          <w:szCs w:val="28"/>
          <w:highlight w:val="none"/>
          <w:u w:val="single"/>
        </w:rPr>
        <w:t xml:space="preserve">                        </w:t>
      </w:r>
    </w:p>
    <w:p w14:paraId="0A5F153E">
      <w:pPr>
        <w:spacing w:line="500" w:lineRule="exact"/>
        <w:jc w:val="center"/>
        <w:rPr>
          <w:rFonts w:ascii="宋体" w:hAnsi="宋体"/>
          <w:szCs w:val="21"/>
          <w:highlight w:val="none"/>
        </w:rPr>
      </w:pPr>
      <w:r>
        <w:rPr>
          <w:rFonts w:hint="eastAsia" w:ascii="仿宋_GB2312" w:hAnsi="宋体" w:eastAsia="仿宋_GB2312"/>
          <w:sz w:val="24"/>
          <w:highlight w:val="none"/>
        </w:rPr>
        <w:t xml:space="preserve">                      </w:t>
      </w:r>
    </w:p>
    <w:p w14:paraId="4104F913">
      <w:pPr>
        <w:rPr>
          <w:sz w:val="28"/>
          <w:szCs w:val="28"/>
          <w:highlight w:val="none"/>
        </w:rPr>
      </w:pPr>
      <w:r>
        <w:rPr>
          <w:rFonts w:hint="eastAsia"/>
          <w:highlight w:val="none"/>
        </w:rPr>
        <w:t xml:space="preserve">                                   </w:t>
      </w:r>
      <w:r>
        <w:rPr>
          <w:rFonts w:hint="eastAsia"/>
          <w:sz w:val="28"/>
          <w:szCs w:val="28"/>
          <w:highlight w:val="none"/>
        </w:rPr>
        <w:t xml:space="preserve">                     年</w:t>
      </w:r>
      <w:r>
        <w:rPr>
          <w:rFonts w:hint="eastAsia" w:cs="宋体"/>
          <w:sz w:val="28"/>
          <w:szCs w:val="28"/>
          <w:highlight w:val="none"/>
        </w:rPr>
        <w:t xml:space="preserve">    </w:t>
      </w:r>
      <w:r>
        <w:rPr>
          <w:rFonts w:hint="eastAsia"/>
          <w:sz w:val="28"/>
          <w:szCs w:val="28"/>
          <w:highlight w:val="none"/>
        </w:rPr>
        <w:t>月    日</w:t>
      </w:r>
    </w:p>
    <w:p w14:paraId="76F47F1D">
      <w:pPr>
        <w:spacing w:line="520" w:lineRule="exact"/>
        <w:rPr>
          <w:rFonts w:ascii="宋体" w:hAnsi="宋体"/>
          <w:szCs w:val="21"/>
          <w:highlight w:val="none"/>
        </w:rPr>
      </w:pPr>
    </w:p>
    <w:p w14:paraId="0965D1EB">
      <w:pPr>
        <w:spacing w:line="520" w:lineRule="exact"/>
        <w:ind w:firstLine="3767" w:firstLineChars="1340"/>
        <w:rPr>
          <w:rFonts w:ascii="宋体" w:hAnsi="宋体"/>
          <w:b/>
          <w:sz w:val="28"/>
          <w:szCs w:val="28"/>
          <w:highlight w:val="none"/>
        </w:rPr>
      </w:pPr>
    </w:p>
    <w:p w14:paraId="046119C7">
      <w:pPr>
        <w:spacing w:line="520" w:lineRule="exact"/>
        <w:ind w:firstLine="3767" w:firstLineChars="1340"/>
        <w:rPr>
          <w:rFonts w:ascii="宋体" w:hAnsi="宋体"/>
          <w:b/>
          <w:sz w:val="28"/>
          <w:szCs w:val="28"/>
          <w:highlight w:val="none"/>
        </w:rPr>
      </w:pPr>
    </w:p>
    <w:p w14:paraId="71AF7870">
      <w:pPr>
        <w:spacing w:line="520" w:lineRule="exact"/>
        <w:ind w:firstLine="3767" w:firstLineChars="1340"/>
        <w:rPr>
          <w:rFonts w:ascii="宋体" w:hAnsi="宋体"/>
          <w:b/>
          <w:sz w:val="28"/>
          <w:szCs w:val="28"/>
          <w:highlight w:val="none"/>
        </w:rPr>
      </w:pPr>
    </w:p>
    <w:p w14:paraId="5C2053A8">
      <w:pPr>
        <w:spacing w:line="520" w:lineRule="exact"/>
        <w:ind w:firstLine="3767" w:firstLineChars="1340"/>
        <w:rPr>
          <w:rFonts w:ascii="宋体" w:hAnsi="宋体"/>
          <w:b/>
          <w:sz w:val="28"/>
          <w:szCs w:val="28"/>
          <w:highlight w:val="none"/>
        </w:rPr>
      </w:pPr>
    </w:p>
    <w:p w14:paraId="32045FC3">
      <w:pPr>
        <w:spacing w:line="720" w:lineRule="auto"/>
        <w:jc w:val="center"/>
        <w:rPr>
          <w:rFonts w:ascii="宋体" w:hAnsi="宋体"/>
          <w:b/>
          <w:sz w:val="30"/>
          <w:szCs w:val="30"/>
          <w:highlight w:val="none"/>
        </w:rPr>
      </w:pPr>
      <w:r>
        <w:rPr>
          <w:rFonts w:ascii="宋体" w:hAnsi="宋体"/>
          <w:b/>
          <w:sz w:val="30"/>
          <w:szCs w:val="30"/>
          <w:highlight w:val="none"/>
        </w:rPr>
        <w:br w:type="page"/>
      </w:r>
      <w:r>
        <w:rPr>
          <w:rFonts w:hint="eastAsia" w:ascii="宋体" w:hAnsi="宋体"/>
          <w:b/>
          <w:sz w:val="30"/>
          <w:szCs w:val="30"/>
          <w:highlight w:val="none"/>
        </w:rPr>
        <w:t>二、附  件</w:t>
      </w:r>
    </w:p>
    <w:p w14:paraId="37C375E5">
      <w:pPr>
        <w:spacing w:line="500" w:lineRule="exact"/>
        <w:rPr>
          <w:rFonts w:ascii="宋体" w:hAnsi="宋体"/>
          <w:b/>
          <w:szCs w:val="21"/>
          <w:highlight w:val="none"/>
        </w:rPr>
      </w:pPr>
      <w:r>
        <w:rPr>
          <w:rFonts w:hint="eastAsia" w:ascii="宋体" w:hAnsi="宋体"/>
          <w:b/>
          <w:szCs w:val="21"/>
          <w:highlight w:val="none"/>
        </w:rPr>
        <w:t xml:space="preserve">附件一 </w:t>
      </w:r>
    </w:p>
    <w:p w14:paraId="0C0AD804">
      <w:pPr>
        <w:spacing w:line="500" w:lineRule="exact"/>
        <w:jc w:val="center"/>
        <w:rPr>
          <w:rFonts w:ascii="仿宋_GB2312" w:hAnsi="宋体" w:eastAsia="仿宋_GB2312"/>
          <w:b/>
          <w:sz w:val="32"/>
          <w:szCs w:val="32"/>
          <w:highlight w:val="none"/>
        </w:rPr>
      </w:pPr>
      <w:r>
        <w:rPr>
          <w:rFonts w:hint="eastAsia" w:ascii="仿宋_GB2312" w:hAnsi="宋体" w:eastAsia="仿宋_GB2312"/>
          <w:b/>
          <w:sz w:val="32"/>
          <w:szCs w:val="32"/>
          <w:highlight w:val="none"/>
        </w:rPr>
        <w:t>报  价  表</w:t>
      </w:r>
    </w:p>
    <w:p w14:paraId="4AB54A2B">
      <w:pPr>
        <w:spacing w:line="500" w:lineRule="exact"/>
        <w:rPr>
          <w:rFonts w:ascii="宋体" w:hAnsi="宋体"/>
          <w:szCs w:val="21"/>
          <w:highlight w:val="none"/>
          <w:u w:val="single"/>
        </w:rPr>
      </w:pPr>
      <w:r>
        <w:rPr>
          <w:rFonts w:hint="eastAsia" w:ascii="宋体" w:hAnsi="宋体"/>
          <w:szCs w:val="21"/>
          <w:highlight w:val="none"/>
        </w:rPr>
        <w:t>采购项目名称</w:t>
      </w:r>
      <w:r>
        <w:rPr>
          <w:rFonts w:hint="eastAsia" w:ascii="宋体" w:hAnsi="宋体"/>
          <w:szCs w:val="21"/>
          <w:highlight w:val="none"/>
          <w:lang w:eastAsia="zh-CN"/>
        </w:rPr>
        <w:t>：</w:t>
      </w:r>
      <w:r>
        <w:rPr>
          <w:rFonts w:hint="eastAsia" w:ascii="宋体" w:hAnsi="宋体"/>
          <w:szCs w:val="21"/>
          <w:highlight w:val="none"/>
          <w:u w:val="single"/>
        </w:rPr>
        <w:t xml:space="preserve">                 </w:t>
      </w:r>
    </w:p>
    <w:p w14:paraId="19C8AAB3">
      <w:pPr>
        <w:spacing w:line="500" w:lineRule="exact"/>
        <w:rPr>
          <w:highlight w:val="none"/>
        </w:rPr>
      </w:pPr>
      <w:r>
        <w:rPr>
          <w:rFonts w:hint="eastAsia" w:ascii="宋体" w:hAnsi="宋体"/>
          <w:szCs w:val="21"/>
          <w:highlight w:val="none"/>
        </w:rPr>
        <w:t>采购项目编号</w:t>
      </w:r>
      <w:r>
        <w:rPr>
          <w:rFonts w:hint="eastAsia" w:ascii="宋体" w:hAnsi="宋体"/>
          <w:szCs w:val="21"/>
          <w:highlight w:val="none"/>
          <w:lang w:eastAsia="zh-CN"/>
        </w:rPr>
        <w:t>：</w:t>
      </w:r>
      <w:r>
        <w:rPr>
          <w:rFonts w:hint="eastAsia" w:ascii="宋体" w:hAnsi="宋体"/>
          <w:szCs w:val="21"/>
          <w:highlight w:val="none"/>
          <w:u w:val="single"/>
        </w:rPr>
        <w:t xml:space="preserve">                </w:t>
      </w:r>
      <w:r>
        <w:rPr>
          <w:rFonts w:hint="eastAsia" w:ascii="宋体" w:hAnsi="宋体"/>
          <w:szCs w:val="21"/>
          <w:highlight w:val="none"/>
        </w:rPr>
        <w:t xml:space="preserve">   </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1"/>
        <w:gridCol w:w="3381"/>
        <w:gridCol w:w="748"/>
        <w:gridCol w:w="774"/>
        <w:gridCol w:w="2709"/>
        <w:gridCol w:w="1093"/>
      </w:tblGrid>
      <w:tr w14:paraId="113EA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atLeast"/>
          <w:jc w:val="center"/>
        </w:trPr>
        <w:tc>
          <w:tcPr>
            <w:tcW w:w="631" w:type="dxa"/>
            <w:tcBorders>
              <w:bottom w:val="single" w:color="auto" w:sz="4" w:space="0"/>
            </w:tcBorders>
            <w:vAlign w:val="center"/>
          </w:tcPr>
          <w:p w14:paraId="0D777A5C">
            <w:pPr>
              <w:pStyle w:val="10"/>
              <w:keepNext w:val="0"/>
              <w:keepLines w:val="0"/>
              <w:suppressLineNumbers w:val="0"/>
              <w:spacing w:before="0" w:beforeAutospacing="0" w:after="0" w:afterAutospacing="0" w:line="400" w:lineRule="exact"/>
              <w:ind w:left="480" w:right="0" w:hanging="480"/>
              <w:jc w:val="center"/>
              <w:rPr>
                <w:rFonts w:hint="default" w:hAnsi="宋体"/>
                <w:spacing w:val="-20"/>
                <w:highlight w:val="none"/>
              </w:rPr>
            </w:pPr>
            <w:r>
              <w:rPr>
                <w:rFonts w:hint="eastAsia" w:hAnsi="宋体"/>
                <w:spacing w:val="-20"/>
                <w:highlight w:val="none"/>
              </w:rPr>
              <w:t>序号</w:t>
            </w:r>
          </w:p>
        </w:tc>
        <w:tc>
          <w:tcPr>
            <w:tcW w:w="3381" w:type="dxa"/>
            <w:tcBorders>
              <w:bottom w:val="single" w:color="auto" w:sz="4" w:space="0"/>
            </w:tcBorders>
            <w:vAlign w:val="center"/>
          </w:tcPr>
          <w:p w14:paraId="25725930">
            <w:pPr>
              <w:keepNext w:val="0"/>
              <w:keepLines w:val="0"/>
              <w:suppressLineNumbers w:val="0"/>
              <w:tabs>
                <w:tab w:val="left" w:pos="180"/>
                <w:tab w:val="left" w:pos="1620"/>
              </w:tabs>
              <w:spacing w:before="0" w:beforeAutospacing="0" w:after="0" w:afterAutospacing="0" w:line="400" w:lineRule="exact"/>
              <w:ind w:left="0" w:right="0"/>
              <w:jc w:val="center"/>
              <w:rPr>
                <w:rFonts w:hint="default" w:ascii="宋体" w:hAnsi="宋体"/>
                <w:szCs w:val="21"/>
                <w:highlight w:val="none"/>
              </w:rPr>
            </w:pPr>
            <w:r>
              <w:rPr>
                <w:rFonts w:hint="eastAsia" w:ascii="宋体" w:hAnsi="宋体"/>
                <w:szCs w:val="21"/>
                <w:highlight w:val="none"/>
              </w:rPr>
              <w:t>服务项目名称</w:t>
            </w:r>
          </w:p>
        </w:tc>
        <w:tc>
          <w:tcPr>
            <w:tcW w:w="748" w:type="dxa"/>
            <w:tcBorders>
              <w:bottom w:val="single" w:color="auto" w:sz="4" w:space="0"/>
            </w:tcBorders>
            <w:vAlign w:val="center"/>
          </w:tcPr>
          <w:p w14:paraId="433B9F4D">
            <w:pPr>
              <w:pStyle w:val="10"/>
              <w:keepNext w:val="0"/>
              <w:keepLines w:val="0"/>
              <w:suppressLineNumbers w:val="0"/>
              <w:spacing w:before="0" w:beforeAutospacing="0" w:after="0" w:afterAutospacing="0" w:line="400" w:lineRule="exact"/>
              <w:ind w:left="560" w:right="0" w:hanging="560"/>
              <w:jc w:val="center"/>
              <w:rPr>
                <w:rFonts w:hint="default" w:hAnsi="宋体"/>
                <w:highlight w:val="none"/>
              </w:rPr>
            </w:pPr>
            <w:r>
              <w:rPr>
                <w:rFonts w:hint="eastAsia" w:hAnsi="宋体"/>
                <w:highlight w:val="none"/>
              </w:rPr>
              <w:t>数量</w:t>
            </w:r>
          </w:p>
        </w:tc>
        <w:tc>
          <w:tcPr>
            <w:tcW w:w="774" w:type="dxa"/>
            <w:tcBorders>
              <w:bottom w:val="single" w:color="auto" w:sz="4" w:space="0"/>
            </w:tcBorders>
            <w:vAlign w:val="center"/>
          </w:tcPr>
          <w:p w14:paraId="35E5BEF3">
            <w:pPr>
              <w:pStyle w:val="10"/>
              <w:keepNext w:val="0"/>
              <w:keepLines w:val="0"/>
              <w:suppressLineNumbers w:val="0"/>
              <w:spacing w:before="0" w:beforeAutospacing="0" w:after="0" w:afterAutospacing="0" w:line="400" w:lineRule="exact"/>
              <w:ind w:left="560" w:right="0" w:hanging="560"/>
              <w:jc w:val="center"/>
              <w:rPr>
                <w:rFonts w:hint="default" w:hAnsi="宋体"/>
                <w:highlight w:val="none"/>
              </w:rPr>
            </w:pPr>
            <w:r>
              <w:rPr>
                <w:rFonts w:hint="eastAsia" w:hAnsi="宋体"/>
                <w:highlight w:val="none"/>
              </w:rPr>
              <w:t>单位</w:t>
            </w:r>
          </w:p>
        </w:tc>
        <w:tc>
          <w:tcPr>
            <w:tcW w:w="2709" w:type="dxa"/>
            <w:tcBorders>
              <w:bottom w:val="single" w:color="auto" w:sz="4" w:space="0"/>
            </w:tcBorders>
            <w:vAlign w:val="center"/>
          </w:tcPr>
          <w:p w14:paraId="7B27E07E">
            <w:pPr>
              <w:pStyle w:val="10"/>
              <w:keepNext w:val="0"/>
              <w:keepLines w:val="0"/>
              <w:suppressLineNumbers w:val="0"/>
              <w:spacing w:before="0" w:beforeAutospacing="0" w:after="0" w:afterAutospacing="0" w:line="400" w:lineRule="exact"/>
              <w:ind w:left="480" w:right="0" w:hanging="480"/>
              <w:jc w:val="center"/>
              <w:rPr>
                <w:rFonts w:hint="default" w:hAnsi="宋体"/>
                <w:highlight w:val="none"/>
              </w:rPr>
            </w:pPr>
            <w:r>
              <w:rPr>
                <w:rFonts w:hint="eastAsia" w:hAnsi="宋体"/>
                <w:spacing w:val="-20"/>
                <w:highlight w:val="none"/>
              </w:rPr>
              <w:t>报价</w:t>
            </w:r>
            <w:r>
              <w:rPr>
                <w:rFonts w:hint="eastAsia" w:hAnsi="宋体" w:cs="Times New Roman"/>
                <w:highlight w:val="none"/>
              </w:rPr>
              <w:t>（元）</w:t>
            </w:r>
          </w:p>
        </w:tc>
        <w:tc>
          <w:tcPr>
            <w:tcW w:w="1093" w:type="dxa"/>
            <w:tcBorders>
              <w:bottom w:val="single" w:color="auto" w:sz="4" w:space="0"/>
            </w:tcBorders>
          </w:tcPr>
          <w:p w14:paraId="27733E34">
            <w:pPr>
              <w:pStyle w:val="10"/>
              <w:keepNext w:val="0"/>
              <w:keepLines w:val="0"/>
              <w:suppressLineNumbers w:val="0"/>
              <w:spacing w:before="0" w:beforeAutospacing="0" w:after="0" w:afterAutospacing="0" w:line="400" w:lineRule="exact"/>
              <w:ind w:left="560" w:right="0" w:hanging="560"/>
              <w:jc w:val="center"/>
              <w:rPr>
                <w:rFonts w:hint="default" w:hAnsi="宋体"/>
                <w:highlight w:val="none"/>
              </w:rPr>
            </w:pPr>
            <w:r>
              <w:rPr>
                <w:rFonts w:hint="eastAsia" w:hAnsi="宋体"/>
                <w:highlight w:val="none"/>
              </w:rPr>
              <w:t>备注</w:t>
            </w:r>
          </w:p>
        </w:tc>
      </w:tr>
      <w:tr w14:paraId="7CE3E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9" w:hRule="atLeast"/>
          <w:jc w:val="center"/>
        </w:trPr>
        <w:tc>
          <w:tcPr>
            <w:tcW w:w="631" w:type="dxa"/>
            <w:vAlign w:val="center"/>
          </w:tcPr>
          <w:p w14:paraId="7456550F">
            <w:pPr>
              <w:keepNext w:val="0"/>
              <w:keepLines w:val="0"/>
              <w:suppressLineNumbers w:val="0"/>
              <w:tabs>
                <w:tab w:val="left" w:pos="180"/>
                <w:tab w:val="left" w:pos="1620"/>
              </w:tabs>
              <w:spacing w:before="0" w:beforeAutospacing="0" w:after="0" w:afterAutospacing="0" w:line="400" w:lineRule="exact"/>
              <w:ind w:left="0" w:right="0"/>
              <w:jc w:val="center"/>
              <w:rPr>
                <w:rFonts w:hint="default" w:ascii="宋体" w:hAnsi="宋体"/>
                <w:szCs w:val="21"/>
                <w:highlight w:val="none"/>
              </w:rPr>
            </w:pPr>
            <w:r>
              <w:rPr>
                <w:rFonts w:hint="eastAsia" w:ascii="宋体" w:hAnsi="宋体"/>
                <w:szCs w:val="21"/>
                <w:highlight w:val="none"/>
              </w:rPr>
              <w:t>1</w:t>
            </w:r>
          </w:p>
        </w:tc>
        <w:tc>
          <w:tcPr>
            <w:tcW w:w="3381" w:type="dxa"/>
            <w:vAlign w:val="center"/>
          </w:tcPr>
          <w:p w14:paraId="70DCE6A2">
            <w:pPr>
              <w:keepNext w:val="0"/>
              <w:keepLines w:val="0"/>
              <w:suppressLineNumbers w:val="0"/>
              <w:spacing w:before="0" w:beforeAutospacing="0" w:after="0" w:afterAutospacing="0" w:line="380" w:lineRule="exact"/>
              <w:ind w:left="0" w:right="0"/>
              <w:jc w:val="center"/>
              <w:rPr>
                <w:rFonts w:hint="eastAsia" w:ascii="宋体" w:hAnsi="宋体" w:eastAsia="宋体" w:cs="宋体"/>
                <w:szCs w:val="21"/>
                <w:highlight w:val="none"/>
                <w:lang w:eastAsia="zh-CN"/>
              </w:rPr>
            </w:pPr>
            <w:r>
              <w:rPr>
                <w:rFonts w:hint="eastAsia" w:ascii="宋体" w:hAnsi="宋体" w:cs="宋体"/>
                <w:szCs w:val="21"/>
                <w:highlight w:val="none"/>
                <w:lang w:eastAsia="zh-CN"/>
              </w:rPr>
              <w:t>南宁市2025年公办普惠托育机构能力提升</w:t>
            </w:r>
          </w:p>
        </w:tc>
        <w:tc>
          <w:tcPr>
            <w:tcW w:w="748" w:type="dxa"/>
            <w:vAlign w:val="center"/>
          </w:tcPr>
          <w:p w14:paraId="7806C3BB">
            <w:pPr>
              <w:keepNext w:val="0"/>
              <w:keepLines w:val="0"/>
              <w:widowControl/>
              <w:suppressLineNumbers w:val="0"/>
              <w:spacing w:before="0" w:beforeAutospacing="0" w:after="0" w:afterAutospacing="0"/>
              <w:ind w:left="0" w:right="0"/>
              <w:jc w:val="center"/>
              <w:rPr>
                <w:rFonts w:hint="default" w:ascii="宋体" w:hAnsi="宋体" w:cs="宋体"/>
                <w:highlight w:val="none"/>
              </w:rPr>
            </w:pPr>
            <w:r>
              <w:rPr>
                <w:rFonts w:hint="eastAsia" w:ascii="宋体" w:hAnsi="宋体" w:cs="宋体"/>
                <w:spacing w:val="-6"/>
                <w:highlight w:val="none"/>
              </w:rPr>
              <w:t>1</w:t>
            </w:r>
          </w:p>
        </w:tc>
        <w:tc>
          <w:tcPr>
            <w:tcW w:w="774" w:type="dxa"/>
            <w:vAlign w:val="center"/>
          </w:tcPr>
          <w:p w14:paraId="7536F754">
            <w:pPr>
              <w:keepNext w:val="0"/>
              <w:keepLines w:val="0"/>
              <w:widowControl/>
              <w:suppressLineNumbers w:val="0"/>
              <w:spacing w:before="0" w:beforeAutospacing="0" w:after="0" w:afterAutospacing="0"/>
              <w:ind w:left="0" w:right="0"/>
              <w:jc w:val="center"/>
              <w:textAlignment w:val="center"/>
              <w:rPr>
                <w:rFonts w:hint="default" w:ascii="宋体" w:hAnsi="宋体" w:cs="宋体"/>
                <w:spacing w:val="-6"/>
                <w:highlight w:val="none"/>
              </w:rPr>
            </w:pPr>
            <w:r>
              <w:rPr>
                <w:rFonts w:hint="eastAsia" w:ascii="宋体" w:hAnsi="宋体" w:cs="宋体"/>
                <w:highlight w:val="none"/>
              </w:rPr>
              <w:t>项</w:t>
            </w:r>
          </w:p>
        </w:tc>
        <w:tc>
          <w:tcPr>
            <w:tcW w:w="2709" w:type="dxa"/>
          </w:tcPr>
          <w:p w14:paraId="61168681">
            <w:pPr>
              <w:keepNext w:val="0"/>
              <w:keepLines w:val="0"/>
              <w:widowControl/>
              <w:suppressLineNumbers w:val="0"/>
              <w:spacing w:before="0" w:beforeAutospacing="0" w:after="0" w:afterAutospacing="0"/>
              <w:ind w:left="0" w:right="0"/>
              <w:jc w:val="center"/>
              <w:textAlignment w:val="center"/>
              <w:rPr>
                <w:rFonts w:hint="default" w:hAnsi="宋体"/>
                <w:spacing w:val="-6"/>
                <w:highlight w:val="none"/>
              </w:rPr>
            </w:pPr>
          </w:p>
        </w:tc>
        <w:tc>
          <w:tcPr>
            <w:tcW w:w="1093" w:type="dxa"/>
          </w:tcPr>
          <w:p w14:paraId="59CE6676">
            <w:pPr>
              <w:keepNext w:val="0"/>
              <w:keepLines w:val="0"/>
              <w:widowControl/>
              <w:suppressLineNumbers w:val="0"/>
              <w:spacing w:before="0" w:beforeAutospacing="0" w:after="0" w:afterAutospacing="0"/>
              <w:ind w:left="0" w:right="0"/>
              <w:jc w:val="center"/>
              <w:textAlignment w:val="center"/>
              <w:rPr>
                <w:rFonts w:hint="default" w:hAnsi="宋体"/>
                <w:spacing w:val="-6"/>
                <w:highlight w:val="none"/>
              </w:rPr>
            </w:pPr>
          </w:p>
        </w:tc>
      </w:tr>
      <w:tr w14:paraId="26E88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9336" w:type="dxa"/>
            <w:gridSpan w:val="6"/>
            <w:vAlign w:val="center"/>
          </w:tcPr>
          <w:p w14:paraId="4F225721">
            <w:pPr>
              <w:pStyle w:val="10"/>
              <w:keepNext w:val="0"/>
              <w:keepLines w:val="0"/>
              <w:suppressLineNumbers w:val="0"/>
              <w:spacing w:before="0" w:beforeAutospacing="0" w:after="0" w:afterAutospacing="0"/>
              <w:ind w:left="536" w:right="0" w:hanging="536"/>
              <w:rPr>
                <w:rFonts w:hint="default" w:hAnsi="宋体"/>
                <w:spacing w:val="-6"/>
                <w:highlight w:val="none"/>
              </w:rPr>
            </w:pPr>
            <w:r>
              <w:rPr>
                <w:rFonts w:hint="eastAsia" w:hAnsi="宋体"/>
                <w:spacing w:val="-6"/>
                <w:highlight w:val="none"/>
              </w:rPr>
              <w:t>总报价（人民币大写）：</w:t>
            </w:r>
            <w:r>
              <w:rPr>
                <w:rFonts w:hint="eastAsia" w:hAnsi="宋体"/>
                <w:spacing w:val="-6"/>
                <w:highlight w:val="none"/>
                <w:u w:val="single"/>
              </w:rPr>
              <w:t xml:space="preserve">                                          </w:t>
            </w:r>
            <w:r>
              <w:rPr>
                <w:rFonts w:hint="eastAsia" w:hAnsi="宋体"/>
                <w:spacing w:val="-6"/>
                <w:highlight w:val="none"/>
              </w:rPr>
              <w:t>（￥</w:t>
            </w:r>
            <w:r>
              <w:rPr>
                <w:rFonts w:hint="eastAsia" w:hAnsi="宋体"/>
                <w:spacing w:val="-6"/>
                <w:highlight w:val="none"/>
                <w:u w:val="single"/>
              </w:rPr>
              <w:t xml:space="preserve">                   </w:t>
            </w:r>
            <w:r>
              <w:rPr>
                <w:rFonts w:hint="eastAsia" w:hAnsi="宋体"/>
                <w:spacing w:val="-6"/>
                <w:highlight w:val="none"/>
              </w:rPr>
              <w:t>元）</w:t>
            </w:r>
          </w:p>
        </w:tc>
      </w:tr>
    </w:tbl>
    <w:p w14:paraId="3487E3D7">
      <w:pPr>
        <w:pStyle w:val="19"/>
        <w:ind w:firstLine="210"/>
        <w:rPr>
          <w:highlight w:val="none"/>
        </w:rPr>
      </w:pPr>
    </w:p>
    <w:p w14:paraId="5B073FD3">
      <w:pPr>
        <w:spacing w:line="400" w:lineRule="exact"/>
        <w:rPr>
          <w:rFonts w:ascii="宋体" w:hAnsi="宋体"/>
          <w:szCs w:val="21"/>
          <w:highlight w:val="none"/>
        </w:rPr>
      </w:pPr>
      <w:r>
        <w:rPr>
          <w:rFonts w:hint="eastAsia" w:ascii="宋体" w:hAnsi="宋体"/>
          <w:szCs w:val="21"/>
          <w:highlight w:val="none"/>
        </w:rPr>
        <w:t>注：1、所有价格均用人民币表示，单位为元，精确到小数点后两位数。</w:t>
      </w:r>
    </w:p>
    <w:p w14:paraId="29C14F9E">
      <w:pPr>
        <w:spacing w:line="400" w:lineRule="exact"/>
        <w:ind w:firstLine="411" w:firstLineChars="196"/>
        <w:rPr>
          <w:rFonts w:ascii="宋体" w:hAnsi="宋体"/>
          <w:szCs w:val="21"/>
          <w:highlight w:val="none"/>
        </w:rPr>
      </w:pPr>
      <w:r>
        <w:rPr>
          <w:rFonts w:hint="eastAsia" w:hAnsi="宋体"/>
          <w:bCs/>
          <w:highlight w:val="none"/>
        </w:rPr>
        <w:t>2、报价指服务费、管理费、验收费、利润、税金及其它所有成本、费用的总和</w:t>
      </w:r>
      <w:r>
        <w:rPr>
          <w:rFonts w:hint="eastAsia" w:ascii="宋体" w:hAnsi="宋体"/>
          <w:szCs w:val="21"/>
          <w:highlight w:val="none"/>
        </w:rPr>
        <w:t>。</w:t>
      </w:r>
    </w:p>
    <w:p w14:paraId="1F353D67">
      <w:pPr>
        <w:pStyle w:val="10"/>
        <w:spacing w:line="500" w:lineRule="exact"/>
        <w:ind w:firstLine="420" w:firstLineChars="200"/>
        <w:rPr>
          <w:rFonts w:hAnsi="宋体"/>
          <w:highlight w:val="none"/>
        </w:rPr>
      </w:pPr>
    </w:p>
    <w:p w14:paraId="3B75B1A3">
      <w:pPr>
        <w:pStyle w:val="10"/>
        <w:spacing w:line="500" w:lineRule="exact"/>
        <w:ind w:firstLine="420" w:firstLineChars="200"/>
        <w:rPr>
          <w:rFonts w:hAnsi="宋体"/>
          <w:highlight w:val="none"/>
          <w:u w:val="single"/>
        </w:rPr>
      </w:pPr>
      <w:r>
        <w:rPr>
          <w:rFonts w:hint="eastAsia" w:hAnsi="宋体"/>
          <w:highlight w:val="none"/>
        </w:rPr>
        <w:t>法定代表人或委托代理人（签字）</w:t>
      </w:r>
      <w:r>
        <w:rPr>
          <w:rFonts w:hint="eastAsia" w:hAnsi="宋体"/>
          <w:highlight w:val="none"/>
          <w:lang w:eastAsia="zh-CN"/>
        </w:rPr>
        <w:t>：</w:t>
      </w:r>
      <w:r>
        <w:rPr>
          <w:rFonts w:hint="eastAsia" w:hAnsi="宋体"/>
          <w:highlight w:val="none"/>
          <w:u w:val="single"/>
        </w:rPr>
        <w:t xml:space="preserve">              </w:t>
      </w:r>
    </w:p>
    <w:p w14:paraId="144EFEF5">
      <w:pPr>
        <w:pStyle w:val="10"/>
        <w:spacing w:line="500" w:lineRule="exact"/>
        <w:ind w:firstLine="420" w:firstLineChars="200"/>
        <w:rPr>
          <w:rFonts w:hAnsi="宋体"/>
          <w:highlight w:val="none"/>
          <w:u w:val="single"/>
        </w:rPr>
      </w:pPr>
      <w:r>
        <w:rPr>
          <w:rFonts w:hint="eastAsia" w:hAnsi="宋体"/>
          <w:highlight w:val="none"/>
        </w:rPr>
        <w:t>磋商供应商名称（盖章）：</w:t>
      </w:r>
      <w:r>
        <w:rPr>
          <w:rFonts w:hint="eastAsia" w:hAnsi="宋体"/>
          <w:highlight w:val="none"/>
          <w:u w:val="single"/>
        </w:rPr>
        <w:t xml:space="preserve">                      </w:t>
      </w:r>
    </w:p>
    <w:p w14:paraId="76D707B4">
      <w:pPr>
        <w:spacing w:line="500" w:lineRule="exact"/>
        <w:ind w:firstLine="420" w:firstLineChars="200"/>
        <w:rPr>
          <w:rFonts w:hAnsi="宋体"/>
          <w:highlight w:val="none"/>
        </w:rPr>
      </w:pPr>
      <w:r>
        <w:rPr>
          <w:rFonts w:hint="eastAsia" w:hAnsi="宋体"/>
          <w:highlight w:val="none"/>
        </w:rPr>
        <w:t>报价时间：</w:t>
      </w:r>
      <w:r>
        <w:rPr>
          <w:rFonts w:hint="eastAsia" w:hAnsi="宋体"/>
          <w:highlight w:val="none"/>
          <w:u w:val="single"/>
        </w:rPr>
        <w:t xml:space="preserve">       </w:t>
      </w:r>
      <w:r>
        <w:rPr>
          <w:rFonts w:hint="eastAsia" w:hAnsi="宋体"/>
          <w:highlight w:val="none"/>
        </w:rPr>
        <w:t>年</w:t>
      </w:r>
      <w:r>
        <w:rPr>
          <w:rFonts w:hint="eastAsia" w:hAnsi="宋体"/>
          <w:highlight w:val="none"/>
          <w:u w:val="single"/>
        </w:rPr>
        <w:t xml:space="preserve">     </w:t>
      </w:r>
      <w:r>
        <w:rPr>
          <w:rFonts w:hint="eastAsia" w:hAnsi="宋体"/>
          <w:highlight w:val="none"/>
        </w:rPr>
        <w:t>月</w:t>
      </w:r>
      <w:r>
        <w:rPr>
          <w:rFonts w:hint="eastAsia" w:hAnsi="宋体"/>
          <w:highlight w:val="none"/>
          <w:u w:val="single"/>
        </w:rPr>
        <w:t xml:space="preserve">    </w:t>
      </w:r>
      <w:r>
        <w:rPr>
          <w:rFonts w:hint="eastAsia" w:hAnsi="宋体"/>
          <w:highlight w:val="none"/>
        </w:rPr>
        <w:t>日</w:t>
      </w:r>
    </w:p>
    <w:p w14:paraId="44FDC938">
      <w:pPr>
        <w:adjustRightInd w:val="0"/>
        <w:snapToGrid w:val="0"/>
        <w:spacing w:line="500" w:lineRule="exact"/>
        <w:ind w:left="-88" w:leftChars="-42"/>
        <w:rPr>
          <w:rFonts w:ascii="宋体" w:hAnsi="宋体"/>
          <w:szCs w:val="21"/>
          <w:highlight w:val="none"/>
        </w:rPr>
      </w:pPr>
      <w:r>
        <w:rPr>
          <w:rFonts w:hAnsi="宋体"/>
          <w:highlight w:val="none"/>
        </w:rPr>
        <w:br w:type="page"/>
      </w:r>
      <w:r>
        <w:rPr>
          <w:rFonts w:hint="eastAsia" w:ascii="宋体" w:hAnsi="宋体"/>
          <w:b/>
          <w:szCs w:val="21"/>
          <w:highlight w:val="none"/>
        </w:rPr>
        <w:t>附件二</w:t>
      </w:r>
    </w:p>
    <w:p w14:paraId="3AEE5ACD">
      <w:pPr>
        <w:spacing w:line="520" w:lineRule="exact"/>
        <w:jc w:val="center"/>
        <w:rPr>
          <w:rFonts w:ascii="宋体" w:hAnsi="宋体"/>
          <w:b/>
          <w:sz w:val="32"/>
          <w:szCs w:val="32"/>
          <w:highlight w:val="none"/>
        </w:rPr>
      </w:pPr>
      <w:r>
        <w:rPr>
          <w:rFonts w:hint="eastAsia" w:ascii="宋体" w:hAnsi="宋体"/>
          <w:b/>
          <w:sz w:val="32"/>
          <w:szCs w:val="32"/>
          <w:highlight w:val="none"/>
        </w:rPr>
        <w:t>磋  商  书</w:t>
      </w:r>
    </w:p>
    <w:p w14:paraId="7C340E2E">
      <w:pPr>
        <w:spacing w:line="520" w:lineRule="exact"/>
        <w:jc w:val="center"/>
        <w:rPr>
          <w:rFonts w:ascii="宋体" w:hAnsi="宋体"/>
          <w:b/>
          <w:szCs w:val="21"/>
          <w:highlight w:val="none"/>
        </w:rPr>
      </w:pPr>
    </w:p>
    <w:p w14:paraId="6BB45F87">
      <w:pPr>
        <w:pStyle w:val="10"/>
        <w:spacing w:line="520" w:lineRule="exact"/>
        <w:rPr>
          <w:rFonts w:hAnsi="宋体"/>
          <w:highlight w:val="none"/>
        </w:rPr>
      </w:pPr>
      <w:r>
        <w:rPr>
          <w:rFonts w:hint="eastAsia" w:hAnsi="宋体"/>
          <w:highlight w:val="none"/>
          <w:u w:val="single"/>
        </w:rPr>
        <w:t>广西国力招标有限公司</w:t>
      </w:r>
      <w:r>
        <w:rPr>
          <w:rFonts w:hint="eastAsia" w:hAnsi="宋体"/>
          <w:highlight w:val="none"/>
        </w:rPr>
        <w:t>：</w:t>
      </w:r>
    </w:p>
    <w:p w14:paraId="4357B118">
      <w:pPr>
        <w:pStyle w:val="10"/>
        <w:spacing w:line="520" w:lineRule="exact"/>
        <w:ind w:firstLine="480"/>
        <w:rPr>
          <w:rFonts w:hAnsi="宋体"/>
          <w:highlight w:val="none"/>
        </w:rPr>
      </w:pPr>
      <w:r>
        <w:rPr>
          <w:rFonts w:hint="eastAsia" w:hAnsi="宋体"/>
          <w:highlight w:val="none"/>
        </w:rPr>
        <w:t>依据贵方</w:t>
      </w:r>
      <w:r>
        <w:rPr>
          <w:rFonts w:hint="eastAsia" w:ascii="宋体" w:hAnsi="宋体"/>
          <w:szCs w:val="21"/>
          <w:highlight w:val="none"/>
          <w:u w:val="single"/>
        </w:rPr>
        <w:t xml:space="preserve">        </w:t>
      </w:r>
      <w:r>
        <w:rPr>
          <w:rFonts w:hint="eastAsia" w:hAnsi="宋体"/>
          <w:highlight w:val="none"/>
          <w:u w:val="single"/>
        </w:rPr>
        <w:t>（采购项目名称/采购项目编号）</w:t>
      </w:r>
      <w:r>
        <w:rPr>
          <w:rFonts w:hint="eastAsia" w:hAnsi="宋体"/>
          <w:highlight w:val="none"/>
        </w:rPr>
        <w:t>项目采购的磋商邀请，我方</w:t>
      </w:r>
      <w:r>
        <w:rPr>
          <w:rFonts w:hint="eastAsia" w:ascii="宋体" w:hAnsi="宋体"/>
          <w:szCs w:val="21"/>
          <w:highlight w:val="none"/>
          <w:u w:val="single"/>
        </w:rPr>
        <w:t xml:space="preserve">        </w:t>
      </w:r>
      <w:r>
        <w:rPr>
          <w:rFonts w:hint="eastAsia" w:hAnsi="宋体"/>
          <w:highlight w:val="none"/>
          <w:u w:val="single"/>
        </w:rPr>
        <w:t>（姓名和职务）</w:t>
      </w:r>
      <w:r>
        <w:rPr>
          <w:rFonts w:hint="eastAsia" w:hAnsi="宋体"/>
          <w:highlight w:val="none"/>
        </w:rPr>
        <w:t>经正式授权并代表本单位</w:t>
      </w:r>
      <w:r>
        <w:rPr>
          <w:rFonts w:hint="eastAsia" w:ascii="宋体" w:hAnsi="宋体"/>
          <w:szCs w:val="21"/>
          <w:highlight w:val="none"/>
          <w:u w:val="single"/>
        </w:rPr>
        <w:t xml:space="preserve">        </w:t>
      </w:r>
      <w:r>
        <w:rPr>
          <w:rFonts w:hint="eastAsia" w:hAnsi="宋体"/>
          <w:highlight w:val="none"/>
          <w:u w:val="single"/>
        </w:rPr>
        <w:t>（磋商供应商名称、地址）</w:t>
      </w:r>
      <w:r>
        <w:rPr>
          <w:rFonts w:hint="eastAsia" w:hAnsi="宋体"/>
          <w:highlight w:val="none"/>
        </w:rPr>
        <w:t>提交下述竞争性磋商响应文件</w:t>
      </w:r>
      <w:r>
        <w:rPr>
          <w:rFonts w:hint="eastAsia" w:hAnsi="宋体"/>
          <w:b/>
          <w:highlight w:val="none"/>
        </w:rPr>
        <w:t>（价格文件、商务技术文件），其中</w:t>
      </w:r>
      <w:r>
        <w:rPr>
          <w:rFonts w:hint="eastAsia" w:hAnsi="宋体"/>
          <w:highlight w:val="none"/>
        </w:rPr>
        <w:t>正本</w:t>
      </w:r>
      <w:r>
        <w:rPr>
          <w:rFonts w:hint="eastAsia" w:hAnsi="宋体"/>
          <w:highlight w:val="none"/>
          <w:u w:val="single"/>
        </w:rPr>
        <w:t>一</w:t>
      </w:r>
      <w:r>
        <w:rPr>
          <w:rFonts w:hint="eastAsia" w:hAnsi="宋体"/>
          <w:highlight w:val="none"/>
        </w:rPr>
        <w:t>份、副本</w:t>
      </w:r>
      <w:r>
        <w:rPr>
          <w:rFonts w:hint="eastAsia" w:hAnsi="宋体"/>
          <w:highlight w:val="none"/>
          <w:u w:val="single"/>
        </w:rPr>
        <w:t>四</w:t>
      </w:r>
      <w:r>
        <w:rPr>
          <w:rFonts w:hint="eastAsia" w:hAnsi="宋体"/>
          <w:highlight w:val="none"/>
        </w:rPr>
        <w:t>份。竞争性磋商响应文件有效期：</w:t>
      </w:r>
      <w:r>
        <w:rPr>
          <w:rFonts w:hint="eastAsia" w:hAnsi="宋体"/>
          <w:highlight w:val="none"/>
          <w:u w:val="single"/>
        </w:rPr>
        <w:t>响应文件递交截止日期后六十日</w:t>
      </w:r>
      <w:r>
        <w:rPr>
          <w:rFonts w:hint="eastAsia" w:hAnsi="宋体"/>
          <w:highlight w:val="none"/>
          <w:u w:val="none"/>
          <w:lang w:eastAsia="zh-CN"/>
        </w:rPr>
        <w:t>。</w:t>
      </w:r>
      <w:r>
        <w:rPr>
          <w:rFonts w:hint="eastAsia" w:hAnsi="宋体"/>
          <w:highlight w:val="none"/>
        </w:rPr>
        <w:t>供应商在递交响应文件时，同时递交响应文件电子版（将响应文件电子版光盘或U盘与纸质版响应文件一并装入响应文件袋中。）</w:t>
      </w:r>
    </w:p>
    <w:p w14:paraId="7F1321B4">
      <w:pPr>
        <w:pStyle w:val="10"/>
        <w:spacing w:line="520" w:lineRule="exact"/>
        <w:ind w:firstLine="480"/>
        <w:rPr>
          <w:rFonts w:hAnsi="宋体"/>
          <w:highlight w:val="none"/>
        </w:rPr>
      </w:pPr>
      <w:r>
        <w:rPr>
          <w:rFonts w:hint="eastAsia" w:hAnsi="宋体"/>
          <w:highlight w:val="none"/>
        </w:rPr>
        <w:t>1. 报价表；</w:t>
      </w:r>
    </w:p>
    <w:p w14:paraId="25DC38DA">
      <w:pPr>
        <w:pStyle w:val="10"/>
        <w:spacing w:line="520" w:lineRule="exact"/>
        <w:ind w:firstLine="480"/>
        <w:rPr>
          <w:rFonts w:hAnsi="宋体"/>
          <w:highlight w:val="none"/>
        </w:rPr>
      </w:pPr>
      <w:r>
        <w:rPr>
          <w:rFonts w:hint="eastAsia" w:hAnsi="宋体"/>
          <w:highlight w:val="none"/>
        </w:rPr>
        <w:t>2. 商务、服务响应、偏离情况说明表；</w:t>
      </w:r>
    </w:p>
    <w:p w14:paraId="00154287">
      <w:pPr>
        <w:pStyle w:val="10"/>
        <w:spacing w:line="520" w:lineRule="exact"/>
        <w:ind w:firstLine="480"/>
        <w:rPr>
          <w:rFonts w:hAnsi="宋体"/>
          <w:highlight w:val="none"/>
        </w:rPr>
      </w:pPr>
      <w:r>
        <w:rPr>
          <w:rFonts w:hint="eastAsia" w:hAnsi="宋体"/>
          <w:highlight w:val="none"/>
        </w:rPr>
        <w:t>3. 资格证明文件；</w:t>
      </w:r>
    </w:p>
    <w:p w14:paraId="0D3D26B6">
      <w:pPr>
        <w:pStyle w:val="10"/>
        <w:spacing w:line="520" w:lineRule="exact"/>
        <w:ind w:firstLine="480"/>
        <w:rPr>
          <w:rFonts w:hAnsi="宋体"/>
          <w:highlight w:val="none"/>
        </w:rPr>
      </w:pPr>
      <w:r>
        <w:rPr>
          <w:rFonts w:hint="eastAsia" w:hAnsi="宋体"/>
          <w:highlight w:val="none"/>
        </w:rPr>
        <w:t>4. 按竞争性磋商文件磋商供应商须知和采购需求提供的有关文件；</w:t>
      </w:r>
    </w:p>
    <w:p w14:paraId="3DA6D04E">
      <w:pPr>
        <w:pStyle w:val="10"/>
        <w:spacing w:line="520" w:lineRule="exact"/>
        <w:ind w:firstLine="480"/>
        <w:rPr>
          <w:rFonts w:hAnsi="宋体"/>
          <w:highlight w:val="none"/>
        </w:rPr>
      </w:pPr>
      <w:r>
        <w:rPr>
          <w:rFonts w:hint="eastAsia" w:hAnsi="宋体"/>
          <w:highlight w:val="none"/>
        </w:rPr>
        <w:t>在此，授权代表宣布同意如下：</w:t>
      </w:r>
    </w:p>
    <w:p w14:paraId="4CBF9376">
      <w:pPr>
        <w:pStyle w:val="10"/>
        <w:spacing w:line="520" w:lineRule="exact"/>
        <w:ind w:firstLine="480"/>
        <w:rPr>
          <w:rFonts w:hAnsi="宋体"/>
          <w:highlight w:val="none"/>
        </w:rPr>
      </w:pPr>
      <w:r>
        <w:rPr>
          <w:rFonts w:hint="eastAsia" w:hAnsi="宋体"/>
          <w:highlight w:val="none"/>
        </w:rPr>
        <w:t>1. 将按竞争性磋商文件的约定履行合同责任和义务；</w:t>
      </w:r>
    </w:p>
    <w:p w14:paraId="790FE1EA">
      <w:pPr>
        <w:pStyle w:val="10"/>
        <w:spacing w:line="520" w:lineRule="exact"/>
        <w:ind w:firstLine="480"/>
        <w:rPr>
          <w:rFonts w:hAnsi="宋体"/>
          <w:highlight w:val="none"/>
        </w:rPr>
      </w:pPr>
      <w:r>
        <w:rPr>
          <w:rFonts w:hint="eastAsia" w:hAnsi="宋体"/>
          <w:highlight w:val="none"/>
        </w:rPr>
        <w:t>2. 已详细审查全部竞争性磋商文件，包括</w:t>
      </w:r>
      <w:r>
        <w:rPr>
          <w:rFonts w:hint="eastAsia" w:hAnsi="宋体"/>
          <w:highlight w:val="none"/>
          <w:u w:val="single"/>
        </w:rPr>
        <w:t>（补遗文件）（如果有的话）</w:t>
      </w:r>
      <w:r>
        <w:rPr>
          <w:rFonts w:hint="eastAsia" w:hAnsi="宋体"/>
          <w:highlight w:val="none"/>
        </w:rPr>
        <w:t>；</w:t>
      </w:r>
    </w:p>
    <w:p w14:paraId="3250F9A7">
      <w:pPr>
        <w:pStyle w:val="10"/>
        <w:spacing w:line="520" w:lineRule="exact"/>
        <w:ind w:firstLine="480"/>
        <w:rPr>
          <w:rFonts w:hAnsi="宋体"/>
          <w:highlight w:val="none"/>
        </w:rPr>
      </w:pPr>
      <w:r>
        <w:rPr>
          <w:rFonts w:hint="eastAsia" w:hAnsi="宋体"/>
          <w:highlight w:val="none"/>
        </w:rPr>
        <w:t>3. 同意提供按照贵方可能要求的与其磋商有关的一切数据或资料；</w:t>
      </w:r>
    </w:p>
    <w:p w14:paraId="4ACB1652">
      <w:pPr>
        <w:pStyle w:val="10"/>
        <w:spacing w:line="520" w:lineRule="exact"/>
        <w:ind w:firstLine="480"/>
        <w:rPr>
          <w:rFonts w:hAnsi="宋体"/>
          <w:highlight w:val="none"/>
          <w:u w:val="single"/>
        </w:rPr>
      </w:pPr>
      <w:r>
        <w:rPr>
          <w:rFonts w:hint="eastAsia" w:hAnsi="宋体"/>
          <w:highlight w:val="none"/>
        </w:rPr>
        <w:t>4. 与本磋商有关的一切正式往来信函请寄：</w:t>
      </w:r>
      <w:r>
        <w:rPr>
          <w:rFonts w:hint="eastAsia" w:hAnsi="宋体"/>
          <w:highlight w:val="none"/>
          <w:u w:val="single"/>
        </w:rPr>
        <w:t xml:space="preserve">                                    </w:t>
      </w:r>
    </w:p>
    <w:p w14:paraId="71055DDE">
      <w:pPr>
        <w:pStyle w:val="10"/>
        <w:spacing w:line="520" w:lineRule="exact"/>
        <w:ind w:firstLine="840"/>
        <w:rPr>
          <w:rFonts w:hAnsi="宋体"/>
          <w:highlight w:val="none"/>
          <w:u w:val="single"/>
        </w:rPr>
      </w:pPr>
      <w:r>
        <w:rPr>
          <w:rFonts w:hint="eastAsia" w:hAnsi="宋体"/>
          <w:highlight w:val="none"/>
        </w:rPr>
        <w:t>开户银行：</w:t>
      </w:r>
      <w:r>
        <w:rPr>
          <w:rFonts w:hint="eastAsia" w:hAnsi="宋体"/>
          <w:highlight w:val="none"/>
          <w:u w:val="single"/>
        </w:rPr>
        <w:t xml:space="preserve">                         </w:t>
      </w:r>
      <w:r>
        <w:rPr>
          <w:rFonts w:hint="eastAsia" w:hAnsi="宋体"/>
          <w:highlight w:val="none"/>
        </w:rPr>
        <w:t xml:space="preserve">  账号/行号：</w:t>
      </w:r>
      <w:r>
        <w:rPr>
          <w:rFonts w:hint="eastAsia" w:hAnsi="宋体"/>
          <w:highlight w:val="none"/>
          <w:u w:val="single"/>
        </w:rPr>
        <w:t xml:space="preserve">                       </w:t>
      </w:r>
    </w:p>
    <w:p w14:paraId="2D109E13">
      <w:pPr>
        <w:pStyle w:val="10"/>
        <w:spacing w:line="520" w:lineRule="exact"/>
        <w:ind w:firstLine="840"/>
        <w:rPr>
          <w:rFonts w:hAnsi="宋体"/>
          <w:highlight w:val="none"/>
        </w:rPr>
      </w:pPr>
      <w:r>
        <w:rPr>
          <w:rFonts w:hint="eastAsia" w:hAnsi="宋体"/>
          <w:highlight w:val="none"/>
        </w:rPr>
        <w:t>电话/传真：</w:t>
      </w:r>
      <w:r>
        <w:rPr>
          <w:rFonts w:hint="eastAsia" w:hAnsi="宋体"/>
          <w:highlight w:val="none"/>
          <w:u w:val="single"/>
        </w:rPr>
        <w:t xml:space="preserve">                        </w:t>
      </w:r>
      <w:r>
        <w:rPr>
          <w:rFonts w:hint="eastAsia" w:hAnsi="宋体"/>
          <w:highlight w:val="none"/>
        </w:rPr>
        <w:t xml:space="preserve"> 电子函件：</w:t>
      </w:r>
      <w:r>
        <w:rPr>
          <w:rFonts w:hint="eastAsia" w:hAnsi="宋体"/>
          <w:highlight w:val="none"/>
          <w:u w:val="single"/>
        </w:rPr>
        <w:t xml:space="preserve">                         </w:t>
      </w:r>
    </w:p>
    <w:p w14:paraId="3CAEE642">
      <w:pPr>
        <w:pStyle w:val="10"/>
        <w:spacing w:line="520" w:lineRule="exact"/>
        <w:ind w:firstLine="840"/>
        <w:rPr>
          <w:rFonts w:hAnsi="宋体"/>
          <w:highlight w:val="none"/>
          <w:u w:val="single"/>
        </w:rPr>
      </w:pPr>
      <w:r>
        <w:rPr>
          <w:rFonts w:hint="eastAsia" w:hAnsi="宋体"/>
          <w:highlight w:val="none"/>
        </w:rPr>
        <w:t>日期：</w:t>
      </w:r>
      <w:r>
        <w:rPr>
          <w:rFonts w:hint="eastAsia" w:hAnsi="宋体"/>
          <w:highlight w:val="none"/>
          <w:u w:val="single"/>
        </w:rPr>
        <w:t xml:space="preserve">      </w:t>
      </w:r>
      <w:r>
        <w:rPr>
          <w:rFonts w:hint="eastAsia" w:hAnsi="宋体"/>
          <w:highlight w:val="none"/>
        </w:rPr>
        <w:t>年</w:t>
      </w:r>
      <w:r>
        <w:rPr>
          <w:rFonts w:hint="eastAsia" w:hAnsi="宋体"/>
          <w:highlight w:val="none"/>
          <w:u w:val="single"/>
        </w:rPr>
        <w:t xml:space="preserve">   </w:t>
      </w:r>
      <w:r>
        <w:rPr>
          <w:rFonts w:hint="eastAsia" w:hAnsi="宋体"/>
          <w:highlight w:val="none"/>
        </w:rPr>
        <w:t>月</w:t>
      </w:r>
      <w:r>
        <w:rPr>
          <w:rFonts w:hint="eastAsia" w:hAnsi="宋体"/>
          <w:highlight w:val="none"/>
          <w:u w:val="single"/>
        </w:rPr>
        <w:t xml:space="preserve">    </w:t>
      </w:r>
      <w:r>
        <w:rPr>
          <w:rFonts w:hint="eastAsia" w:hAnsi="宋体"/>
          <w:highlight w:val="none"/>
        </w:rPr>
        <w:t>日</w:t>
      </w:r>
    </w:p>
    <w:p w14:paraId="2AC5E686">
      <w:pPr>
        <w:pStyle w:val="10"/>
        <w:spacing w:line="520" w:lineRule="exact"/>
        <w:ind w:firstLine="840"/>
        <w:rPr>
          <w:rFonts w:hAnsi="宋体"/>
          <w:highlight w:val="none"/>
          <w:u w:val="single"/>
        </w:rPr>
      </w:pPr>
      <w:r>
        <w:rPr>
          <w:rFonts w:hint="eastAsia" w:hAnsi="宋体"/>
          <w:highlight w:val="none"/>
        </w:rPr>
        <w:t>法定代表人或</w:t>
      </w:r>
      <w:r>
        <w:rPr>
          <w:rFonts w:hint="eastAsia"/>
          <w:highlight w:val="none"/>
        </w:rPr>
        <w:t>委托代理人（被授权人）</w:t>
      </w:r>
      <w:r>
        <w:rPr>
          <w:rFonts w:hint="eastAsia" w:hAnsi="宋体"/>
          <w:highlight w:val="none"/>
        </w:rPr>
        <w:t>签字：</w:t>
      </w:r>
      <w:r>
        <w:rPr>
          <w:rFonts w:hint="eastAsia" w:hAnsi="宋体"/>
          <w:highlight w:val="none"/>
          <w:u w:val="single"/>
        </w:rPr>
        <w:t xml:space="preserve">                       </w:t>
      </w:r>
    </w:p>
    <w:p w14:paraId="5823EB2D">
      <w:pPr>
        <w:pStyle w:val="10"/>
        <w:spacing w:line="520" w:lineRule="exact"/>
        <w:ind w:firstLine="840"/>
        <w:rPr>
          <w:rFonts w:hAnsi="宋体"/>
          <w:highlight w:val="none"/>
        </w:rPr>
      </w:pPr>
      <w:r>
        <w:rPr>
          <w:rFonts w:hint="eastAsia" w:hAnsi="宋体"/>
          <w:highlight w:val="none"/>
        </w:rPr>
        <w:t>磋商供应商名称（盖章）：</w:t>
      </w:r>
      <w:r>
        <w:rPr>
          <w:rFonts w:hint="eastAsia" w:hAnsi="宋体"/>
          <w:highlight w:val="none"/>
          <w:u w:val="single"/>
        </w:rPr>
        <w:t xml:space="preserve">                                                </w:t>
      </w:r>
    </w:p>
    <w:p w14:paraId="16FDAB1E">
      <w:pPr>
        <w:pStyle w:val="10"/>
        <w:spacing w:line="520" w:lineRule="exact"/>
        <w:ind w:firstLine="840"/>
        <w:rPr>
          <w:rFonts w:hAnsi="宋体"/>
          <w:highlight w:val="none"/>
        </w:rPr>
      </w:pPr>
      <w:r>
        <w:rPr>
          <w:rFonts w:hint="eastAsia" w:hAnsi="宋体"/>
          <w:highlight w:val="none"/>
        </w:rPr>
        <w:t xml:space="preserve">                     </w:t>
      </w:r>
    </w:p>
    <w:p w14:paraId="27D9EA97">
      <w:pPr>
        <w:adjustRightInd w:val="0"/>
        <w:snapToGrid w:val="0"/>
        <w:spacing w:line="300" w:lineRule="auto"/>
        <w:ind w:left="-88" w:leftChars="-42"/>
        <w:rPr>
          <w:rFonts w:ascii="宋体" w:hAnsi="宋体"/>
          <w:szCs w:val="21"/>
          <w:highlight w:val="none"/>
        </w:rPr>
      </w:pPr>
    </w:p>
    <w:p w14:paraId="0CB39143">
      <w:pPr>
        <w:adjustRightInd w:val="0"/>
        <w:snapToGrid w:val="0"/>
        <w:spacing w:line="300" w:lineRule="auto"/>
        <w:ind w:left="-88" w:leftChars="-42"/>
        <w:rPr>
          <w:rFonts w:ascii="宋体" w:hAnsi="宋体"/>
          <w:szCs w:val="21"/>
          <w:highlight w:val="none"/>
        </w:rPr>
      </w:pPr>
    </w:p>
    <w:p w14:paraId="1C190EAE">
      <w:pPr>
        <w:adjustRightInd w:val="0"/>
        <w:snapToGrid w:val="0"/>
        <w:spacing w:line="300" w:lineRule="auto"/>
        <w:ind w:left="-88" w:leftChars="-42"/>
        <w:rPr>
          <w:rFonts w:ascii="宋体" w:hAnsi="宋体"/>
          <w:szCs w:val="21"/>
          <w:highlight w:val="none"/>
        </w:rPr>
      </w:pPr>
    </w:p>
    <w:p w14:paraId="54C1F871">
      <w:pPr>
        <w:adjustRightInd w:val="0"/>
        <w:snapToGrid w:val="0"/>
        <w:spacing w:line="300" w:lineRule="auto"/>
        <w:ind w:left="-88" w:leftChars="-42"/>
        <w:rPr>
          <w:rFonts w:ascii="宋体" w:hAnsi="宋体"/>
          <w:szCs w:val="21"/>
          <w:highlight w:val="none"/>
        </w:rPr>
      </w:pPr>
    </w:p>
    <w:p w14:paraId="4CFD5085">
      <w:pPr>
        <w:adjustRightInd w:val="0"/>
        <w:snapToGrid w:val="0"/>
        <w:spacing w:line="300" w:lineRule="auto"/>
        <w:ind w:left="-88" w:leftChars="-42"/>
        <w:rPr>
          <w:rFonts w:ascii="宋体" w:hAnsi="宋体"/>
          <w:szCs w:val="21"/>
          <w:highlight w:val="none"/>
        </w:rPr>
      </w:pPr>
    </w:p>
    <w:p w14:paraId="4DE990F9">
      <w:pPr>
        <w:adjustRightInd w:val="0"/>
        <w:snapToGrid w:val="0"/>
        <w:spacing w:line="300" w:lineRule="auto"/>
        <w:ind w:left="-88" w:leftChars="-42"/>
        <w:rPr>
          <w:rFonts w:ascii="宋体" w:hAnsi="宋体"/>
          <w:szCs w:val="21"/>
          <w:highlight w:val="none"/>
        </w:rPr>
      </w:pPr>
    </w:p>
    <w:p w14:paraId="63185811">
      <w:pPr>
        <w:spacing w:line="520" w:lineRule="exact"/>
        <w:jc w:val="center"/>
        <w:rPr>
          <w:rFonts w:ascii="宋体" w:hAnsi="宋体"/>
          <w:b/>
          <w:sz w:val="32"/>
          <w:szCs w:val="32"/>
          <w:highlight w:val="none"/>
        </w:rPr>
      </w:pPr>
      <w:r>
        <w:rPr>
          <w:rFonts w:ascii="宋体" w:hAnsi="宋体"/>
          <w:sz w:val="32"/>
          <w:szCs w:val="32"/>
          <w:highlight w:val="none"/>
        </w:rPr>
        <w:br w:type="page"/>
      </w:r>
      <w:r>
        <w:rPr>
          <w:rFonts w:hint="eastAsia" w:ascii="宋体" w:hAnsi="宋体"/>
          <w:b/>
          <w:sz w:val="32"/>
          <w:szCs w:val="32"/>
          <w:highlight w:val="none"/>
        </w:rPr>
        <w:t>磋商声明书</w:t>
      </w:r>
    </w:p>
    <w:p w14:paraId="7218184C">
      <w:pPr>
        <w:spacing w:line="320" w:lineRule="exact"/>
        <w:jc w:val="center"/>
        <w:rPr>
          <w:rFonts w:ascii="宋体" w:hAnsi="宋体"/>
          <w:sz w:val="24"/>
          <w:szCs w:val="20"/>
          <w:highlight w:val="none"/>
        </w:rPr>
      </w:pPr>
    </w:p>
    <w:p w14:paraId="74A04709">
      <w:pPr>
        <w:snapToGrid w:val="0"/>
        <w:spacing w:before="156" w:beforeLines="50" w:after="50" w:line="380" w:lineRule="exact"/>
        <w:rPr>
          <w:rFonts w:ascii="宋体" w:hAnsi="宋体"/>
          <w:szCs w:val="21"/>
          <w:highlight w:val="none"/>
        </w:rPr>
      </w:pPr>
      <w:r>
        <w:rPr>
          <w:rFonts w:hint="eastAsia" w:ascii="宋体" w:hAnsi="宋体"/>
          <w:szCs w:val="21"/>
          <w:highlight w:val="none"/>
        </w:rPr>
        <w:t>致：</w:t>
      </w:r>
      <w:r>
        <w:rPr>
          <w:rFonts w:hint="eastAsia" w:ascii="宋体" w:hAnsi="宋体"/>
          <w:szCs w:val="21"/>
          <w:highlight w:val="none"/>
          <w:u w:val="single"/>
        </w:rPr>
        <w:t>广西国力招标有限公司</w:t>
      </w:r>
      <w:r>
        <w:rPr>
          <w:rFonts w:hint="eastAsia" w:ascii="宋体" w:hAnsi="宋体"/>
          <w:szCs w:val="21"/>
          <w:highlight w:val="none"/>
        </w:rPr>
        <w:t>：</w:t>
      </w:r>
    </w:p>
    <w:p w14:paraId="2ABC2F36">
      <w:pPr>
        <w:snapToGrid w:val="0"/>
        <w:spacing w:before="156" w:beforeLines="50" w:after="50" w:line="380" w:lineRule="exact"/>
        <w:rPr>
          <w:rFonts w:ascii="宋体" w:hAnsi="宋体"/>
          <w:szCs w:val="21"/>
          <w:highlight w:val="none"/>
        </w:rPr>
      </w:pPr>
      <w:r>
        <w:rPr>
          <w:rFonts w:hint="eastAsia" w:ascii="宋体" w:hAnsi="宋体"/>
          <w:szCs w:val="21"/>
          <w:highlight w:val="none"/>
        </w:rPr>
        <w:t xml:space="preserve">    </w:t>
      </w:r>
      <w:r>
        <w:rPr>
          <w:rFonts w:hint="eastAsia" w:ascii="宋体" w:hAnsi="宋体"/>
          <w:szCs w:val="21"/>
          <w:highlight w:val="none"/>
          <w:u w:val="single"/>
        </w:rPr>
        <w:t xml:space="preserve">              </w:t>
      </w:r>
      <w:r>
        <w:rPr>
          <w:rFonts w:hint="eastAsia" w:ascii="宋体" w:hAnsi="宋体"/>
          <w:szCs w:val="21"/>
          <w:highlight w:val="none"/>
        </w:rPr>
        <w:t>（供应商名称）系中华人民共和国合法企业，经营地址</w:t>
      </w:r>
      <w:r>
        <w:rPr>
          <w:rFonts w:hint="eastAsia" w:ascii="宋体" w:hAnsi="宋体"/>
          <w:szCs w:val="21"/>
          <w:highlight w:val="none"/>
          <w:u w:val="single"/>
        </w:rPr>
        <w:t xml:space="preserve">                  </w:t>
      </w:r>
      <w:r>
        <w:rPr>
          <w:rFonts w:hint="eastAsia" w:ascii="宋体" w:hAnsi="宋体"/>
          <w:szCs w:val="21"/>
          <w:highlight w:val="none"/>
        </w:rPr>
        <w:t>。</w:t>
      </w:r>
    </w:p>
    <w:p w14:paraId="33361A4B">
      <w:pPr>
        <w:snapToGrid w:val="0"/>
        <w:spacing w:before="156" w:beforeLines="50" w:line="380" w:lineRule="exact"/>
        <w:ind w:firstLine="420" w:firstLineChars="200"/>
        <w:rPr>
          <w:rFonts w:ascii="宋体" w:hAnsi="宋体"/>
          <w:szCs w:val="21"/>
          <w:highlight w:val="none"/>
        </w:rPr>
      </w:pPr>
      <w:r>
        <w:rPr>
          <w:rFonts w:hint="eastAsia" w:ascii="宋体" w:hAnsi="宋体"/>
          <w:szCs w:val="21"/>
          <w:highlight w:val="none"/>
        </w:rPr>
        <w:t>我</w:t>
      </w:r>
      <w:r>
        <w:rPr>
          <w:rFonts w:hint="eastAsia" w:ascii="宋体" w:hAnsi="宋体"/>
          <w:szCs w:val="21"/>
          <w:highlight w:val="none"/>
          <w:u w:val="single"/>
        </w:rPr>
        <w:t xml:space="preserve">                </w:t>
      </w:r>
      <w:r>
        <w:rPr>
          <w:rFonts w:hint="eastAsia" w:ascii="宋体" w:hAnsi="宋体"/>
          <w:szCs w:val="21"/>
          <w:highlight w:val="none"/>
        </w:rPr>
        <w:t>（姓名）系</w:t>
      </w:r>
      <w:r>
        <w:rPr>
          <w:rFonts w:hint="eastAsia" w:ascii="宋体" w:hAnsi="宋体"/>
          <w:szCs w:val="21"/>
          <w:highlight w:val="none"/>
          <w:u w:val="single"/>
        </w:rPr>
        <w:t xml:space="preserve">                </w:t>
      </w:r>
      <w:r>
        <w:rPr>
          <w:rFonts w:hint="eastAsia" w:ascii="宋体" w:hAnsi="宋体"/>
          <w:szCs w:val="21"/>
          <w:highlight w:val="none"/>
        </w:rPr>
        <w:t>（供应商名称）的法定代表人，我方愿意参加贵方组织的</w:t>
      </w:r>
      <w:r>
        <w:rPr>
          <w:rFonts w:hint="eastAsia" w:ascii="宋体" w:hAnsi="宋体"/>
          <w:szCs w:val="21"/>
          <w:highlight w:val="none"/>
          <w:u w:val="single"/>
        </w:rPr>
        <w:t xml:space="preserve">              </w:t>
      </w:r>
      <w:r>
        <w:rPr>
          <w:rFonts w:hint="eastAsia" w:ascii="宋体" w:hAnsi="宋体"/>
          <w:szCs w:val="21"/>
          <w:highlight w:val="none"/>
        </w:rPr>
        <w:t>项目的磋商活动，为便于贵方公正、择优地确定成交供应商及其竞标产品和服务，我方就本次磋商有关事项郑重声明如下：</w:t>
      </w:r>
    </w:p>
    <w:p w14:paraId="0E743C54">
      <w:pPr>
        <w:snapToGrid w:val="0"/>
        <w:spacing w:line="380" w:lineRule="exact"/>
        <w:ind w:firstLine="420" w:firstLineChars="200"/>
        <w:rPr>
          <w:rFonts w:ascii="宋体" w:hAnsi="宋体"/>
          <w:szCs w:val="21"/>
          <w:highlight w:val="none"/>
        </w:rPr>
      </w:pPr>
      <w:r>
        <w:rPr>
          <w:rFonts w:hint="eastAsia" w:ascii="宋体" w:hAnsi="宋体"/>
          <w:szCs w:val="21"/>
          <w:highlight w:val="none"/>
        </w:rPr>
        <w:t>1.我方向贵方提交的所有响应文件、资料都是准确的和真实的。</w:t>
      </w:r>
    </w:p>
    <w:p w14:paraId="46D5A6C0">
      <w:pPr>
        <w:snapToGrid w:val="0"/>
        <w:spacing w:before="156" w:beforeLines="50" w:line="380" w:lineRule="exact"/>
        <w:ind w:firstLine="420" w:firstLineChars="200"/>
        <w:rPr>
          <w:rFonts w:ascii="宋体" w:hAnsi="宋体"/>
          <w:szCs w:val="21"/>
          <w:highlight w:val="none"/>
        </w:rPr>
      </w:pPr>
      <w:r>
        <w:rPr>
          <w:rFonts w:hint="eastAsia" w:ascii="宋体" w:hAnsi="宋体"/>
          <w:szCs w:val="21"/>
          <w:highlight w:val="none"/>
        </w:rPr>
        <w:t>2.我方不是采购人的附属机构；在获知本项目采购信息后，与采购人聘请的为此项目提供咨询服务的公司及其附属机构没有任何联系。</w:t>
      </w:r>
    </w:p>
    <w:p w14:paraId="148119FD">
      <w:pPr>
        <w:snapToGrid w:val="0"/>
        <w:spacing w:before="156" w:beforeLines="50" w:line="380" w:lineRule="exact"/>
        <w:ind w:firstLine="420" w:firstLineChars="200"/>
        <w:rPr>
          <w:rFonts w:ascii="宋体" w:hAnsi="宋体"/>
          <w:szCs w:val="21"/>
          <w:highlight w:val="none"/>
        </w:rPr>
      </w:pPr>
      <w:r>
        <w:rPr>
          <w:rFonts w:hint="eastAsia" w:ascii="宋体" w:hAnsi="宋体"/>
          <w:szCs w:val="21"/>
          <w:highlight w:val="none"/>
        </w:rPr>
        <w:t>3.我方此次向贵方提供的产品（服务）名称为：</w:t>
      </w:r>
      <w:r>
        <w:rPr>
          <w:rFonts w:hint="eastAsia" w:ascii="宋体" w:hAnsi="宋体"/>
          <w:szCs w:val="21"/>
          <w:highlight w:val="none"/>
          <w:u w:val="single"/>
        </w:rPr>
        <w:t xml:space="preserve">                              </w:t>
      </w:r>
      <w:r>
        <w:rPr>
          <w:rFonts w:hint="eastAsia" w:ascii="宋体" w:hAnsi="宋体"/>
          <w:szCs w:val="21"/>
          <w:highlight w:val="none"/>
        </w:rPr>
        <w:t>；我方承诺具备履行合同所必需的设备和专业技术能力。</w:t>
      </w:r>
    </w:p>
    <w:p w14:paraId="7D128A1D">
      <w:pPr>
        <w:snapToGrid w:val="0"/>
        <w:spacing w:before="156" w:beforeLines="50" w:line="380" w:lineRule="exact"/>
        <w:ind w:firstLine="420" w:firstLineChars="200"/>
        <w:rPr>
          <w:rFonts w:ascii="宋体" w:hAnsi="宋体"/>
          <w:szCs w:val="21"/>
          <w:highlight w:val="none"/>
        </w:rPr>
      </w:pPr>
      <w:r>
        <w:rPr>
          <w:rFonts w:hint="eastAsia" w:ascii="宋体" w:hAnsi="宋体"/>
          <w:szCs w:val="21"/>
          <w:highlight w:val="none"/>
        </w:rPr>
        <w:t>4.我方诚意提请贵方关注：近期有关该型号产品（服务）的生产、供货、售后服务以及性能等方面的重大决策和事项有：</w:t>
      </w:r>
    </w:p>
    <w:p w14:paraId="2A4EA7F8">
      <w:pPr>
        <w:snapToGrid w:val="0"/>
        <w:spacing w:before="156" w:beforeLines="50" w:line="380" w:lineRule="exact"/>
        <w:ind w:firstLine="420" w:firstLineChars="200"/>
        <w:rPr>
          <w:rFonts w:ascii="宋体" w:hAnsi="宋体"/>
          <w:szCs w:val="21"/>
          <w:highlight w:val="none"/>
          <w:u w:val="single"/>
        </w:rPr>
      </w:pPr>
      <w:r>
        <w:rPr>
          <w:rFonts w:hint="eastAsia" w:ascii="宋体" w:hAnsi="宋体"/>
          <w:szCs w:val="21"/>
          <w:highlight w:val="none"/>
          <w:u w:val="single"/>
        </w:rPr>
        <w:t>　　　　　　　　　　　　　　　　　　　　　　　　　　　</w:t>
      </w:r>
    </w:p>
    <w:p w14:paraId="0D8353D3">
      <w:pPr>
        <w:snapToGrid w:val="0"/>
        <w:spacing w:before="156" w:beforeLines="50" w:line="380" w:lineRule="exact"/>
        <w:ind w:firstLine="420" w:firstLineChars="200"/>
        <w:rPr>
          <w:rFonts w:ascii="宋体" w:hAnsi="宋体"/>
          <w:szCs w:val="21"/>
          <w:highlight w:val="none"/>
        </w:rPr>
      </w:pPr>
      <w:r>
        <w:rPr>
          <w:rFonts w:hint="eastAsia" w:ascii="宋体" w:hAnsi="宋体"/>
          <w:szCs w:val="21"/>
          <w:highlight w:val="none"/>
          <w:u w:val="single"/>
        </w:rPr>
        <w:t>　　　　　　　　　　　　　　　　　　　　　　　　　　　</w:t>
      </w:r>
    </w:p>
    <w:p w14:paraId="3EB8A376">
      <w:pPr>
        <w:pStyle w:val="8"/>
        <w:snapToGrid w:val="0"/>
        <w:spacing w:line="380" w:lineRule="exact"/>
        <w:ind w:firstLine="420" w:firstLineChars="200"/>
        <w:rPr>
          <w:rFonts w:ascii="宋体" w:hAnsi="宋体"/>
          <w:sz w:val="21"/>
          <w:szCs w:val="21"/>
          <w:highlight w:val="none"/>
          <w:u w:val="single"/>
        </w:rPr>
      </w:pPr>
      <w:r>
        <w:rPr>
          <w:rFonts w:hint="eastAsia" w:ascii="宋体" w:hAnsi="宋体" w:eastAsia="宋体"/>
          <w:sz w:val="21"/>
          <w:szCs w:val="21"/>
          <w:highlight w:val="none"/>
        </w:rPr>
        <w:t>5. 以上事项如有虚假或隐瞒，我方愿意承担一切后果，并不再寻求任何旨在减轻或免除法律责任的辩解。</w:t>
      </w:r>
    </w:p>
    <w:p w14:paraId="5FD255B4">
      <w:pPr>
        <w:spacing w:line="380" w:lineRule="exact"/>
        <w:ind w:firstLine="420" w:firstLineChars="200"/>
        <w:rPr>
          <w:rFonts w:ascii="宋体" w:hAnsi="宋体"/>
          <w:szCs w:val="21"/>
          <w:highlight w:val="none"/>
        </w:rPr>
      </w:pPr>
      <w:r>
        <w:rPr>
          <w:rFonts w:hint="eastAsia" w:ascii="宋体" w:hAnsi="宋体"/>
          <w:szCs w:val="21"/>
          <w:highlight w:val="none"/>
        </w:rPr>
        <w:t>6. 我方就对本次响应文件进行注明如下：（两项内容中必须选择一项）</w:t>
      </w:r>
    </w:p>
    <w:p w14:paraId="1F90D892">
      <w:pPr>
        <w:spacing w:line="380" w:lineRule="exact"/>
        <w:ind w:firstLine="420" w:firstLineChars="200"/>
        <w:rPr>
          <w:rFonts w:ascii="宋体" w:hAnsi="宋体"/>
          <w:szCs w:val="21"/>
          <w:highlight w:val="none"/>
        </w:rPr>
      </w:pPr>
      <w:r>
        <w:rPr>
          <w:rFonts w:hint="eastAsia" w:ascii="宋体" w:hAnsi="宋体"/>
          <w:szCs w:val="21"/>
          <w:highlight w:val="none"/>
        </w:rPr>
        <w:t>□我方本次响应文件</w:t>
      </w:r>
      <w:r>
        <w:rPr>
          <w:rFonts w:ascii="宋体" w:hAnsi="宋体" w:cs="宋体"/>
          <w:kern w:val="0"/>
          <w:szCs w:val="21"/>
          <w:highlight w:val="none"/>
        </w:rPr>
        <w:t>内容中</w:t>
      </w:r>
      <w:r>
        <w:rPr>
          <w:rFonts w:hint="eastAsia" w:ascii="宋体" w:hAnsi="宋体"/>
          <w:szCs w:val="21"/>
          <w:highlight w:val="none"/>
        </w:rPr>
        <w:t>未</w:t>
      </w:r>
      <w:r>
        <w:rPr>
          <w:rFonts w:ascii="宋体" w:hAnsi="宋体" w:cs="宋体"/>
          <w:kern w:val="0"/>
          <w:szCs w:val="21"/>
          <w:highlight w:val="none"/>
        </w:rPr>
        <w:t>涉及商业秘密</w:t>
      </w:r>
      <w:r>
        <w:rPr>
          <w:rFonts w:hint="eastAsia" w:ascii="宋体" w:hAnsi="宋体" w:cs="宋体"/>
          <w:kern w:val="0"/>
          <w:szCs w:val="21"/>
          <w:highlight w:val="none"/>
        </w:rPr>
        <w:t>；</w:t>
      </w:r>
    </w:p>
    <w:p w14:paraId="76666958">
      <w:pPr>
        <w:spacing w:line="380" w:lineRule="exact"/>
        <w:ind w:firstLine="420" w:firstLineChars="200"/>
        <w:rPr>
          <w:rFonts w:ascii="宋体" w:hAnsi="宋体"/>
          <w:szCs w:val="21"/>
          <w:highlight w:val="none"/>
          <w:u w:val="single"/>
        </w:rPr>
      </w:pPr>
      <w:r>
        <w:rPr>
          <w:rFonts w:hint="eastAsia" w:ascii="宋体" w:hAnsi="宋体"/>
          <w:szCs w:val="21"/>
          <w:highlight w:val="none"/>
        </w:rPr>
        <w:t>□我方本次响应文件</w:t>
      </w:r>
      <w:r>
        <w:rPr>
          <w:rFonts w:ascii="宋体" w:hAnsi="宋体" w:cs="宋体"/>
          <w:kern w:val="0"/>
          <w:szCs w:val="21"/>
          <w:highlight w:val="none"/>
        </w:rPr>
        <w:t>涉及商业秘密</w:t>
      </w:r>
      <w:r>
        <w:rPr>
          <w:rFonts w:hint="eastAsia" w:ascii="宋体" w:hAnsi="宋体" w:cs="宋体"/>
          <w:kern w:val="0"/>
          <w:szCs w:val="21"/>
          <w:highlight w:val="none"/>
        </w:rPr>
        <w:t>的</w:t>
      </w:r>
      <w:r>
        <w:rPr>
          <w:rFonts w:ascii="宋体" w:hAnsi="宋体" w:cs="宋体"/>
          <w:kern w:val="0"/>
          <w:szCs w:val="21"/>
          <w:highlight w:val="none"/>
        </w:rPr>
        <w:t>内容</w:t>
      </w:r>
      <w:r>
        <w:rPr>
          <w:rFonts w:hint="eastAsia" w:ascii="宋体" w:hAnsi="宋体" w:cs="宋体"/>
          <w:kern w:val="0"/>
          <w:szCs w:val="21"/>
          <w:highlight w:val="none"/>
        </w:rPr>
        <w:t>有：</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w:t>
      </w:r>
    </w:p>
    <w:p w14:paraId="672571AD">
      <w:pPr>
        <w:snapToGrid w:val="0"/>
        <w:spacing w:line="380" w:lineRule="exact"/>
        <w:ind w:firstLine="420" w:firstLineChars="200"/>
        <w:rPr>
          <w:rFonts w:ascii="宋体" w:hAnsi="宋体"/>
          <w:szCs w:val="21"/>
          <w:highlight w:val="none"/>
        </w:rPr>
      </w:pPr>
      <w:r>
        <w:rPr>
          <w:rFonts w:hint="eastAsia" w:ascii="宋体" w:hAnsi="宋体"/>
          <w:szCs w:val="21"/>
          <w:highlight w:val="none"/>
        </w:rPr>
        <w:t>7. 我方在此声明，我方及由本人担任法定代表人的其他机构在参加本项目的采购活动前三年内，在经营活动中没有重大违法记录，符合《中华人民共和国政府采购法》及《中华人民共和国政府采购实施条例》规定的供应商条件，我方对此声明负全部法律责任。</w:t>
      </w:r>
    </w:p>
    <w:p w14:paraId="2DABB628">
      <w:pPr>
        <w:pStyle w:val="9"/>
        <w:tabs>
          <w:tab w:val="left" w:pos="939"/>
        </w:tabs>
        <w:snapToGrid w:val="0"/>
        <w:spacing w:line="380" w:lineRule="exact"/>
        <w:ind w:left="849" w:leftChars="150" w:hanging="534" w:hangingChars="191"/>
        <w:rPr>
          <w:rFonts w:ascii="宋体" w:hAnsi="宋体"/>
          <w:szCs w:val="21"/>
          <w:highlight w:val="none"/>
        </w:rPr>
      </w:pPr>
    </w:p>
    <w:p w14:paraId="008FDBC8">
      <w:pPr>
        <w:pStyle w:val="29"/>
        <w:snapToGrid w:val="0"/>
        <w:spacing w:before="156" w:beforeLines="50" w:line="380" w:lineRule="exact"/>
        <w:ind w:firstLine="200"/>
        <w:rPr>
          <w:rFonts w:ascii="宋体" w:hAnsi="宋体"/>
          <w:sz w:val="21"/>
          <w:szCs w:val="21"/>
          <w:highlight w:val="none"/>
        </w:rPr>
      </w:pPr>
    </w:p>
    <w:p w14:paraId="3CF01E32">
      <w:pPr>
        <w:snapToGrid w:val="0"/>
        <w:spacing w:before="156" w:beforeLines="50" w:line="380" w:lineRule="exact"/>
        <w:ind w:right="480" w:firstLine="5628" w:firstLineChars="2680"/>
        <w:rPr>
          <w:rFonts w:ascii="宋体" w:hAnsi="宋体"/>
          <w:szCs w:val="21"/>
          <w:highlight w:val="none"/>
          <w:u w:val="single"/>
        </w:rPr>
      </w:pPr>
      <w:r>
        <w:rPr>
          <w:rFonts w:hint="eastAsia" w:ascii="宋体" w:hAnsi="宋体"/>
          <w:szCs w:val="21"/>
          <w:highlight w:val="none"/>
        </w:rPr>
        <w:t>法定代表人（签字或盖章）签字：</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p>
    <w:p w14:paraId="68FF90D3">
      <w:pPr>
        <w:snapToGrid w:val="0"/>
        <w:spacing w:before="156" w:beforeLines="50" w:after="50" w:line="380" w:lineRule="exact"/>
        <w:ind w:right="480" w:firstLine="5670" w:firstLineChars="2700"/>
        <w:rPr>
          <w:rFonts w:ascii="宋体" w:hAnsi="宋体"/>
          <w:szCs w:val="21"/>
          <w:highlight w:val="none"/>
        </w:rPr>
      </w:pPr>
      <w:r>
        <w:rPr>
          <w:rFonts w:hint="eastAsia" w:ascii="宋体" w:hAnsi="宋体"/>
          <w:szCs w:val="21"/>
          <w:highlight w:val="none"/>
        </w:rPr>
        <w:t>供应商公章：</w:t>
      </w:r>
      <w:r>
        <w:rPr>
          <w:rFonts w:hint="eastAsia" w:ascii="宋体" w:hAnsi="宋体"/>
          <w:szCs w:val="21"/>
          <w:highlight w:val="none"/>
          <w:u w:val="single"/>
        </w:rPr>
        <w:t xml:space="preserve">                 </w:t>
      </w:r>
    </w:p>
    <w:p w14:paraId="2924057D">
      <w:pPr>
        <w:snapToGrid w:val="0"/>
        <w:spacing w:before="156" w:beforeLines="50" w:after="50" w:line="380" w:lineRule="exact"/>
        <w:ind w:right="900" w:firstLine="210" w:firstLineChars="100"/>
        <w:jc w:val="right"/>
        <w:rPr>
          <w:rFonts w:ascii="宋体" w:hAnsi="宋体"/>
          <w:szCs w:val="21"/>
          <w:highlight w:val="none"/>
        </w:rPr>
      </w:pPr>
      <w:r>
        <w:rPr>
          <w:rFonts w:hint="eastAsia" w:hAnsi="宋体"/>
          <w:highlight w:val="none"/>
        </w:rPr>
        <w:t>日期：</w:t>
      </w:r>
      <w:r>
        <w:rPr>
          <w:rFonts w:hint="eastAsia" w:hAnsi="宋体"/>
          <w:highlight w:val="none"/>
          <w:u w:val="single"/>
        </w:rPr>
        <w:t xml:space="preserve">      </w:t>
      </w:r>
      <w:r>
        <w:rPr>
          <w:rFonts w:hint="eastAsia" w:hAnsi="宋体"/>
          <w:highlight w:val="none"/>
        </w:rPr>
        <w:t>年</w:t>
      </w:r>
      <w:r>
        <w:rPr>
          <w:rFonts w:hint="eastAsia" w:hAnsi="宋体"/>
          <w:highlight w:val="none"/>
          <w:u w:val="single"/>
        </w:rPr>
        <w:t xml:space="preserve">   </w:t>
      </w:r>
      <w:r>
        <w:rPr>
          <w:rFonts w:hint="eastAsia" w:hAnsi="宋体"/>
          <w:highlight w:val="none"/>
        </w:rPr>
        <w:t>月</w:t>
      </w:r>
      <w:r>
        <w:rPr>
          <w:rFonts w:hint="eastAsia" w:hAnsi="宋体"/>
          <w:highlight w:val="none"/>
          <w:u w:val="single"/>
        </w:rPr>
        <w:t xml:space="preserve">    </w:t>
      </w:r>
      <w:r>
        <w:rPr>
          <w:rFonts w:hint="eastAsia" w:hAnsi="宋体"/>
          <w:highlight w:val="none"/>
        </w:rPr>
        <w:t>日</w:t>
      </w:r>
    </w:p>
    <w:p w14:paraId="1E757EAE">
      <w:pPr>
        <w:adjustRightInd w:val="0"/>
        <w:snapToGrid w:val="0"/>
        <w:spacing w:line="500" w:lineRule="exact"/>
        <w:rPr>
          <w:rFonts w:ascii="宋体" w:hAnsi="宋体"/>
          <w:b/>
          <w:szCs w:val="21"/>
          <w:highlight w:val="none"/>
        </w:rPr>
      </w:pPr>
      <w:r>
        <w:rPr>
          <w:rFonts w:ascii="宋体" w:hAnsi="宋体"/>
          <w:szCs w:val="21"/>
          <w:highlight w:val="none"/>
        </w:rPr>
        <w:br w:type="page"/>
      </w:r>
      <w:r>
        <w:rPr>
          <w:rFonts w:hint="eastAsia" w:ascii="宋体" w:hAnsi="宋体"/>
          <w:b/>
          <w:szCs w:val="21"/>
          <w:highlight w:val="none"/>
        </w:rPr>
        <w:t xml:space="preserve">附件三 </w:t>
      </w:r>
    </w:p>
    <w:p w14:paraId="49F30685">
      <w:pPr>
        <w:spacing w:line="300" w:lineRule="auto"/>
        <w:jc w:val="center"/>
        <w:rPr>
          <w:rFonts w:ascii="宋体" w:hAnsi="宋体"/>
          <w:b/>
          <w:sz w:val="32"/>
          <w:szCs w:val="32"/>
          <w:highlight w:val="none"/>
        </w:rPr>
      </w:pPr>
      <w:r>
        <w:rPr>
          <w:rFonts w:hint="eastAsia" w:ascii="宋体" w:hAnsi="宋体"/>
          <w:b/>
          <w:sz w:val="32"/>
          <w:szCs w:val="32"/>
          <w:highlight w:val="none"/>
        </w:rPr>
        <w:t>商务、服务响应、偏离情况说明表</w:t>
      </w:r>
    </w:p>
    <w:p w14:paraId="76689FD6">
      <w:pPr>
        <w:spacing w:line="300" w:lineRule="auto"/>
        <w:rPr>
          <w:rFonts w:ascii="宋体" w:hAnsi="宋体"/>
          <w:szCs w:val="21"/>
          <w:highlight w:val="none"/>
        </w:rPr>
      </w:pPr>
    </w:p>
    <w:p w14:paraId="22EBACA4">
      <w:pPr>
        <w:spacing w:line="500" w:lineRule="exact"/>
        <w:rPr>
          <w:rFonts w:ascii="宋体" w:hAnsi="宋体"/>
          <w:szCs w:val="21"/>
          <w:highlight w:val="none"/>
          <w:u w:val="single"/>
        </w:rPr>
      </w:pPr>
      <w:r>
        <w:rPr>
          <w:rFonts w:hint="eastAsia" w:ascii="宋体" w:hAnsi="宋体"/>
          <w:szCs w:val="21"/>
          <w:highlight w:val="none"/>
        </w:rPr>
        <w:t>采购项目名称</w:t>
      </w:r>
      <w:r>
        <w:rPr>
          <w:rFonts w:hint="eastAsia" w:ascii="宋体" w:hAnsi="宋体"/>
          <w:szCs w:val="21"/>
          <w:highlight w:val="none"/>
          <w:lang w:eastAsia="zh-CN"/>
        </w:rPr>
        <w:t>：</w:t>
      </w:r>
      <w:r>
        <w:rPr>
          <w:rFonts w:hint="eastAsia" w:ascii="宋体" w:hAnsi="宋体"/>
          <w:szCs w:val="21"/>
          <w:highlight w:val="none"/>
          <w:u w:val="single"/>
        </w:rPr>
        <w:t xml:space="preserve">                 </w:t>
      </w:r>
    </w:p>
    <w:p w14:paraId="3B7C0236">
      <w:pPr>
        <w:spacing w:line="500" w:lineRule="exact"/>
        <w:rPr>
          <w:rFonts w:ascii="宋体" w:hAnsi="宋体"/>
          <w:szCs w:val="21"/>
          <w:highlight w:val="none"/>
          <w:u w:val="single"/>
        </w:rPr>
      </w:pPr>
      <w:r>
        <w:rPr>
          <w:rFonts w:hint="eastAsia" w:ascii="宋体" w:hAnsi="宋体"/>
          <w:szCs w:val="21"/>
          <w:highlight w:val="none"/>
        </w:rPr>
        <w:t>采购项目编号</w:t>
      </w:r>
      <w:r>
        <w:rPr>
          <w:rFonts w:hint="eastAsia" w:ascii="宋体" w:hAnsi="宋体"/>
          <w:szCs w:val="21"/>
          <w:highlight w:val="none"/>
          <w:lang w:eastAsia="zh-CN"/>
        </w:rPr>
        <w:t>：</w:t>
      </w:r>
      <w:r>
        <w:rPr>
          <w:rFonts w:hint="eastAsia" w:ascii="宋体" w:hAnsi="宋体"/>
          <w:szCs w:val="21"/>
          <w:highlight w:val="none"/>
          <w:u w:val="single"/>
        </w:rPr>
        <w:t xml:space="preserve">                 </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51"/>
        <w:gridCol w:w="3013"/>
        <w:gridCol w:w="3159"/>
        <w:gridCol w:w="1571"/>
        <w:gridCol w:w="1460"/>
      </w:tblGrid>
      <w:tr w14:paraId="42A58E7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03" w:hRule="atLeast"/>
        </w:trPr>
        <w:tc>
          <w:tcPr>
            <w:tcW w:w="651" w:type="dxa"/>
            <w:vAlign w:val="center"/>
          </w:tcPr>
          <w:p w14:paraId="44773FEF">
            <w:pPr>
              <w:keepNext w:val="0"/>
              <w:keepLines w:val="0"/>
              <w:suppressLineNumbers w:val="0"/>
              <w:spacing w:before="0" w:beforeAutospacing="0" w:after="0" w:afterAutospacing="0"/>
              <w:ind w:left="0" w:right="0"/>
              <w:jc w:val="center"/>
              <w:rPr>
                <w:rFonts w:hint="default"/>
                <w:highlight w:val="none"/>
              </w:rPr>
            </w:pPr>
            <w:bookmarkStart w:id="54" w:name="_Toc173211900"/>
            <w:bookmarkStart w:id="55" w:name="_Toc254970588"/>
            <w:bookmarkStart w:id="56" w:name="_Toc173066401"/>
            <w:bookmarkStart w:id="57" w:name="_Toc254970729"/>
            <w:r>
              <w:rPr>
                <w:rFonts w:hint="eastAsia"/>
                <w:highlight w:val="none"/>
              </w:rPr>
              <w:t>序号</w:t>
            </w:r>
          </w:p>
        </w:tc>
        <w:tc>
          <w:tcPr>
            <w:tcW w:w="3013" w:type="dxa"/>
            <w:vAlign w:val="center"/>
          </w:tcPr>
          <w:p w14:paraId="6FF19F98">
            <w:pPr>
              <w:keepNext w:val="0"/>
              <w:keepLines w:val="0"/>
              <w:suppressLineNumbers w:val="0"/>
              <w:spacing w:before="0" w:beforeAutospacing="0" w:after="0" w:afterAutospacing="0"/>
              <w:ind w:left="0" w:right="0"/>
              <w:jc w:val="center"/>
              <w:rPr>
                <w:rFonts w:hint="default"/>
                <w:highlight w:val="none"/>
              </w:rPr>
            </w:pPr>
            <w:r>
              <w:rPr>
                <w:rFonts w:hint="eastAsia"/>
                <w:highlight w:val="none"/>
              </w:rPr>
              <w:t>竞争性磋商文件要求</w:t>
            </w:r>
          </w:p>
        </w:tc>
        <w:tc>
          <w:tcPr>
            <w:tcW w:w="3159" w:type="dxa"/>
            <w:vAlign w:val="center"/>
          </w:tcPr>
          <w:p w14:paraId="381900CC">
            <w:pPr>
              <w:keepNext w:val="0"/>
              <w:keepLines w:val="0"/>
              <w:suppressLineNumbers w:val="0"/>
              <w:spacing w:before="0" w:beforeAutospacing="0" w:after="0" w:afterAutospacing="0"/>
              <w:ind w:left="0" w:right="0"/>
              <w:jc w:val="center"/>
              <w:rPr>
                <w:rFonts w:hint="default"/>
                <w:highlight w:val="none"/>
              </w:rPr>
            </w:pPr>
            <w:r>
              <w:rPr>
                <w:rFonts w:hint="eastAsia"/>
                <w:highlight w:val="none"/>
              </w:rPr>
              <w:t>竞争性磋商响应文件具体响应</w:t>
            </w:r>
          </w:p>
        </w:tc>
        <w:tc>
          <w:tcPr>
            <w:tcW w:w="1571" w:type="dxa"/>
            <w:vAlign w:val="center"/>
          </w:tcPr>
          <w:p w14:paraId="21252B46">
            <w:pPr>
              <w:keepNext w:val="0"/>
              <w:keepLines w:val="0"/>
              <w:suppressLineNumbers w:val="0"/>
              <w:spacing w:before="0" w:beforeAutospacing="0" w:after="0" w:afterAutospacing="0"/>
              <w:ind w:left="0" w:right="0"/>
              <w:jc w:val="center"/>
              <w:rPr>
                <w:rFonts w:hint="default"/>
                <w:highlight w:val="none"/>
              </w:rPr>
            </w:pPr>
            <w:r>
              <w:rPr>
                <w:rFonts w:hint="eastAsia"/>
                <w:highlight w:val="none"/>
              </w:rPr>
              <w:t>响应/偏离</w:t>
            </w:r>
          </w:p>
        </w:tc>
        <w:tc>
          <w:tcPr>
            <w:tcW w:w="1460" w:type="dxa"/>
            <w:vAlign w:val="center"/>
          </w:tcPr>
          <w:p w14:paraId="0C207C2E">
            <w:pPr>
              <w:keepNext w:val="0"/>
              <w:keepLines w:val="0"/>
              <w:suppressLineNumbers w:val="0"/>
              <w:spacing w:before="0" w:beforeAutospacing="0" w:after="0" w:afterAutospacing="0"/>
              <w:ind w:left="0" w:right="0"/>
              <w:jc w:val="center"/>
              <w:rPr>
                <w:rFonts w:hint="default"/>
                <w:highlight w:val="none"/>
              </w:rPr>
            </w:pPr>
            <w:r>
              <w:rPr>
                <w:rFonts w:hint="eastAsia"/>
                <w:highlight w:val="none"/>
              </w:rPr>
              <w:t>备注</w:t>
            </w:r>
          </w:p>
        </w:tc>
      </w:tr>
      <w:tr w14:paraId="1AB3292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854" w:type="dxa"/>
            <w:gridSpan w:val="5"/>
            <w:vAlign w:val="center"/>
          </w:tcPr>
          <w:p w14:paraId="14DCEB25">
            <w:pPr>
              <w:keepNext w:val="0"/>
              <w:keepLines w:val="0"/>
              <w:suppressLineNumbers w:val="0"/>
              <w:spacing w:before="0" w:beforeAutospacing="0" w:after="0" w:afterAutospacing="0"/>
              <w:ind w:left="0" w:right="0"/>
              <w:jc w:val="center"/>
              <w:rPr>
                <w:rFonts w:hint="default"/>
                <w:color w:val="auto"/>
                <w:highlight w:val="none"/>
              </w:rPr>
            </w:pPr>
            <w:r>
              <w:rPr>
                <w:rFonts w:hint="eastAsia"/>
                <w:color w:val="auto"/>
                <w:highlight w:val="none"/>
              </w:rPr>
              <w:t>商务部分（商务要求表）</w:t>
            </w:r>
          </w:p>
        </w:tc>
      </w:tr>
      <w:tr w14:paraId="56E8171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00" w:hRule="atLeast"/>
        </w:trPr>
        <w:tc>
          <w:tcPr>
            <w:tcW w:w="651" w:type="dxa"/>
            <w:vAlign w:val="center"/>
          </w:tcPr>
          <w:p w14:paraId="3D1AFD99">
            <w:pPr>
              <w:keepNext w:val="0"/>
              <w:keepLines w:val="0"/>
              <w:suppressLineNumbers w:val="0"/>
              <w:spacing w:before="0" w:beforeAutospacing="0" w:after="0" w:afterAutospacing="0"/>
              <w:ind w:left="0" w:right="0"/>
              <w:jc w:val="center"/>
              <w:rPr>
                <w:rFonts w:hint="default"/>
                <w:color w:val="auto"/>
                <w:highlight w:val="none"/>
              </w:rPr>
            </w:pPr>
            <w:r>
              <w:rPr>
                <w:rFonts w:hint="eastAsia"/>
                <w:color w:val="auto"/>
                <w:highlight w:val="none"/>
              </w:rPr>
              <w:t>1</w:t>
            </w:r>
          </w:p>
        </w:tc>
        <w:tc>
          <w:tcPr>
            <w:tcW w:w="3013" w:type="dxa"/>
            <w:shd w:val="clear" w:color="auto" w:fill="auto"/>
            <w:vAlign w:val="center"/>
          </w:tcPr>
          <w:p w14:paraId="2053298D">
            <w:pPr>
              <w:keepNext w:val="0"/>
              <w:keepLines w:val="0"/>
              <w:pageBreakBefore w:val="0"/>
              <w:widowControl w:val="0"/>
              <w:suppressLineNumbers w:val="0"/>
              <w:tabs>
                <w:tab w:val="left" w:pos="180"/>
                <w:tab w:val="left" w:pos="1620"/>
              </w:tabs>
              <w:kinsoku/>
              <w:wordWrap/>
              <w:overflowPunct/>
              <w:topLinePunct w:val="0"/>
              <w:autoSpaceDE/>
              <w:autoSpaceDN/>
              <w:bidi w:val="0"/>
              <w:adjustRightInd/>
              <w:snapToGrid/>
              <w:spacing w:before="0" w:beforeAutospacing="0" w:after="0" w:afterAutospacing="0" w:line="380" w:lineRule="exact"/>
              <w:ind w:left="0" w:leftChars="0" w:right="0" w:rightChars="0"/>
              <w:jc w:val="center"/>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color w:val="auto"/>
                <w:sz w:val="21"/>
                <w:szCs w:val="21"/>
                <w:highlight w:val="none"/>
              </w:rPr>
              <w:t>服务</w:t>
            </w:r>
            <w:r>
              <w:rPr>
                <w:rFonts w:hint="eastAsia" w:ascii="宋体" w:hAnsi="宋体" w:eastAsia="宋体" w:cs="宋体"/>
                <w:color w:val="auto"/>
                <w:sz w:val="21"/>
                <w:szCs w:val="21"/>
                <w:highlight w:val="none"/>
                <w:lang w:val="en-US" w:eastAsia="zh-CN"/>
              </w:rPr>
              <w:t>期限</w:t>
            </w:r>
            <w:r>
              <w:rPr>
                <w:rFonts w:hint="eastAsia" w:ascii="宋体" w:hAnsi="宋体" w:eastAsia="宋体" w:cs="宋体"/>
                <w:color w:val="auto"/>
                <w:sz w:val="21"/>
                <w:szCs w:val="21"/>
                <w:highlight w:val="none"/>
              </w:rPr>
              <w:t>及地点</w:t>
            </w:r>
          </w:p>
        </w:tc>
        <w:tc>
          <w:tcPr>
            <w:tcW w:w="3159" w:type="dxa"/>
          </w:tcPr>
          <w:p w14:paraId="3D1D5F7B">
            <w:pPr>
              <w:keepNext w:val="0"/>
              <w:keepLines w:val="0"/>
              <w:suppressLineNumbers w:val="0"/>
              <w:spacing w:before="0" w:beforeAutospacing="0" w:after="0" w:afterAutospacing="0"/>
              <w:ind w:left="0" w:right="0"/>
              <w:rPr>
                <w:rFonts w:hint="default"/>
                <w:color w:val="auto"/>
                <w:highlight w:val="none"/>
              </w:rPr>
            </w:pPr>
          </w:p>
        </w:tc>
        <w:tc>
          <w:tcPr>
            <w:tcW w:w="1571" w:type="dxa"/>
            <w:vAlign w:val="center"/>
          </w:tcPr>
          <w:p w14:paraId="3E6F1903">
            <w:pPr>
              <w:keepNext w:val="0"/>
              <w:keepLines w:val="0"/>
              <w:suppressLineNumbers w:val="0"/>
              <w:spacing w:before="0" w:beforeAutospacing="0" w:after="0" w:afterAutospacing="0"/>
              <w:ind w:left="0" w:right="0"/>
              <w:jc w:val="center"/>
              <w:rPr>
                <w:rFonts w:hint="default"/>
                <w:color w:val="auto"/>
                <w:highlight w:val="none"/>
              </w:rPr>
            </w:pPr>
          </w:p>
        </w:tc>
        <w:tc>
          <w:tcPr>
            <w:tcW w:w="1460" w:type="dxa"/>
            <w:vAlign w:val="center"/>
          </w:tcPr>
          <w:p w14:paraId="56394577">
            <w:pPr>
              <w:keepNext w:val="0"/>
              <w:keepLines w:val="0"/>
              <w:suppressLineNumbers w:val="0"/>
              <w:spacing w:before="0" w:beforeAutospacing="0" w:after="0" w:afterAutospacing="0"/>
              <w:ind w:left="0" w:right="0"/>
              <w:jc w:val="center"/>
              <w:rPr>
                <w:rFonts w:hint="default"/>
                <w:color w:val="auto"/>
                <w:highlight w:val="none"/>
              </w:rPr>
            </w:pPr>
          </w:p>
        </w:tc>
      </w:tr>
      <w:tr w14:paraId="044B922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00" w:hRule="atLeast"/>
        </w:trPr>
        <w:tc>
          <w:tcPr>
            <w:tcW w:w="651" w:type="dxa"/>
            <w:vAlign w:val="center"/>
          </w:tcPr>
          <w:p w14:paraId="1D2E53F4">
            <w:pPr>
              <w:keepNext w:val="0"/>
              <w:keepLines w:val="0"/>
              <w:suppressLineNumbers w:val="0"/>
              <w:spacing w:before="0" w:beforeAutospacing="0" w:after="0" w:afterAutospacing="0"/>
              <w:ind w:left="0" w:right="0"/>
              <w:jc w:val="center"/>
              <w:rPr>
                <w:rFonts w:hint="default"/>
                <w:color w:val="auto"/>
                <w:highlight w:val="none"/>
              </w:rPr>
            </w:pPr>
            <w:r>
              <w:rPr>
                <w:rFonts w:hint="eastAsia"/>
                <w:color w:val="auto"/>
                <w:highlight w:val="none"/>
              </w:rPr>
              <w:t>2</w:t>
            </w:r>
          </w:p>
        </w:tc>
        <w:tc>
          <w:tcPr>
            <w:tcW w:w="3013" w:type="dxa"/>
            <w:shd w:val="clear" w:color="auto" w:fill="auto"/>
            <w:vAlign w:val="center"/>
          </w:tcPr>
          <w:p w14:paraId="1D2F404B">
            <w:pPr>
              <w:keepNext w:val="0"/>
              <w:keepLines w:val="0"/>
              <w:pageBreakBefore w:val="0"/>
              <w:widowControl w:val="0"/>
              <w:suppressLineNumbers w:val="0"/>
              <w:tabs>
                <w:tab w:val="left" w:pos="180"/>
                <w:tab w:val="left" w:pos="1620"/>
              </w:tabs>
              <w:kinsoku/>
              <w:wordWrap/>
              <w:overflowPunct/>
              <w:topLinePunct w:val="0"/>
              <w:autoSpaceDE/>
              <w:autoSpaceDN/>
              <w:bidi w:val="0"/>
              <w:adjustRightInd/>
              <w:snapToGrid/>
              <w:spacing w:before="0" w:beforeAutospacing="0" w:after="0" w:afterAutospacing="0" w:line="380" w:lineRule="exact"/>
              <w:ind w:left="0" w:leftChars="0" w:right="0" w:right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rPr>
              <w:t>售后服务要求</w:t>
            </w:r>
          </w:p>
        </w:tc>
        <w:tc>
          <w:tcPr>
            <w:tcW w:w="3159" w:type="dxa"/>
          </w:tcPr>
          <w:p w14:paraId="3CCF9347">
            <w:pPr>
              <w:keepNext w:val="0"/>
              <w:keepLines w:val="0"/>
              <w:suppressLineNumbers w:val="0"/>
              <w:spacing w:before="0" w:beforeAutospacing="0" w:after="0" w:afterAutospacing="0"/>
              <w:ind w:left="0" w:right="0"/>
              <w:rPr>
                <w:rFonts w:hint="default"/>
                <w:color w:val="auto"/>
                <w:highlight w:val="none"/>
              </w:rPr>
            </w:pPr>
          </w:p>
        </w:tc>
        <w:tc>
          <w:tcPr>
            <w:tcW w:w="1571" w:type="dxa"/>
            <w:vAlign w:val="center"/>
          </w:tcPr>
          <w:p w14:paraId="44F56E13">
            <w:pPr>
              <w:keepNext w:val="0"/>
              <w:keepLines w:val="0"/>
              <w:suppressLineNumbers w:val="0"/>
              <w:spacing w:before="0" w:beforeAutospacing="0" w:after="0" w:afterAutospacing="0"/>
              <w:ind w:left="0" w:right="0"/>
              <w:jc w:val="center"/>
              <w:rPr>
                <w:rFonts w:hint="default"/>
                <w:color w:val="auto"/>
                <w:highlight w:val="none"/>
              </w:rPr>
            </w:pPr>
          </w:p>
        </w:tc>
        <w:tc>
          <w:tcPr>
            <w:tcW w:w="1460" w:type="dxa"/>
            <w:vAlign w:val="center"/>
          </w:tcPr>
          <w:p w14:paraId="14A2A17D">
            <w:pPr>
              <w:keepNext w:val="0"/>
              <w:keepLines w:val="0"/>
              <w:suppressLineNumbers w:val="0"/>
              <w:spacing w:before="0" w:beforeAutospacing="0" w:after="0" w:afterAutospacing="0"/>
              <w:ind w:left="0" w:right="0"/>
              <w:jc w:val="center"/>
              <w:rPr>
                <w:rFonts w:hint="default"/>
                <w:color w:val="auto"/>
                <w:highlight w:val="none"/>
              </w:rPr>
            </w:pPr>
          </w:p>
        </w:tc>
      </w:tr>
      <w:tr w14:paraId="353889F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00" w:hRule="atLeast"/>
        </w:trPr>
        <w:tc>
          <w:tcPr>
            <w:tcW w:w="651" w:type="dxa"/>
            <w:vAlign w:val="center"/>
          </w:tcPr>
          <w:p w14:paraId="654685CC">
            <w:pPr>
              <w:keepNext w:val="0"/>
              <w:keepLines w:val="0"/>
              <w:suppressLineNumbers w:val="0"/>
              <w:spacing w:before="0" w:beforeAutospacing="0" w:after="0" w:afterAutospacing="0"/>
              <w:ind w:left="0" w:right="0"/>
              <w:jc w:val="center"/>
              <w:rPr>
                <w:rFonts w:hint="eastAsia" w:eastAsia="宋体"/>
                <w:color w:val="auto"/>
                <w:highlight w:val="none"/>
                <w:lang w:val="en-US" w:eastAsia="zh-CN"/>
              </w:rPr>
            </w:pPr>
            <w:r>
              <w:rPr>
                <w:rFonts w:hint="eastAsia"/>
                <w:color w:val="auto"/>
                <w:highlight w:val="none"/>
                <w:lang w:val="en-US" w:eastAsia="zh-CN"/>
              </w:rPr>
              <w:t>3</w:t>
            </w:r>
          </w:p>
        </w:tc>
        <w:tc>
          <w:tcPr>
            <w:tcW w:w="3013" w:type="dxa"/>
            <w:shd w:val="clear" w:color="auto" w:fill="auto"/>
            <w:vAlign w:val="center"/>
          </w:tcPr>
          <w:p w14:paraId="5B3269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付款方式</w:t>
            </w:r>
          </w:p>
        </w:tc>
        <w:tc>
          <w:tcPr>
            <w:tcW w:w="3159" w:type="dxa"/>
          </w:tcPr>
          <w:p w14:paraId="0CFF2302">
            <w:pPr>
              <w:keepNext w:val="0"/>
              <w:keepLines w:val="0"/>
              <w:suppressLineNumbers w:val="0"/>
              <w:spacing w:before="0" w:beforeAutospacing="0" w:after="0" w:afterAutospacing="0"/>
              <w:ind w:left="0" w:right="0"/>
              <w:rPr>
                <w:rFonts w:hint="default"/>
                <w:color w:val="auto"/>
                <w:highlight w:val="none"/>
              </w:rPr>
            </w:pPr>
          </w:p>
        </w:tc>
        <w:tc>
          <w:tcPr>
            <w:tcW w:w="1571" w:type="dxa"/>
            <w:vAlign w:val="center"/>
          </w:tcPr>
          <w:p w14:paraId="3309062F">
            <w:pPr>
              <w:keepNext w:val="0"/>
              <w:keepLines w:val="0"/>
              <w:suppressLineNumbers w:val="0"/>
              <w:spacing w:before="0" w:beforeAutospacing="0" w:after="0" w:afterAutospacing="0"/>
              <w:ind w:left="0" w:right="0"/>
              <w:jc w:val="center"/>
              <w:rPr>
                <w:rFonts w:hint="default"/>
                <w:color w:val="auto"/>
                <w:highlight w:val="none"/>
              </w:rPr>
            </w:pPr>
          </w:p>
        </w:tc>
        <w:tc>
          <w:tcPr>
            <w:tcW w:w="1460" w:type="dxa"/>
            <w:vAlign w:val="center"/>
          </w:tcPr>
          <w:p w14:paraId="22AC8C7A">
            <w:pPr>
              <w:keepNext w:val="0"/>
              <w:keepLines w:val="0"/>
              <w:suppressLineNumbers w:val="0"/>
              <w:spacing w:before="0" w:beforeAutospacing="0" w:after="0" w:afterAutospacing="0"/>
              <w:ind w:left="0" w:right="0"/>
              <w:jc w:val="center"/>
              <w:rPr>
                <w:rFonts w:hint="default"/>
                <w:color w:val="auto"/>
                <w:highlight w:val="none"/>
              </w:rPr>
            </w:pPr>
          </w:p>
        </w:tc>
      </w:tr>
      <w:tr w14:paraId="20A3150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00" w:hRule="atLeast"/>
        </w:trPr>
        <w:tc>
          <w:tcPr>
            <w:tcW w:w="651" w:type="dxa"/>
            <w:vAlign w:val="center"/>
          </w:tcPr>
          <w:p w14:paraId="252EC6B7">
            <w:pPr>
              <w:keepNext w:val="0"/>
              <w:keepLines w:val="0"/>
              <w:suppressLineNumbers w:val="0"/>
              <w:spacing w:before="0" w:beforeAutospacing="0" w:after="0" w:afterAutospacing="0"/>
              <w:ind w:left="0" w:right="0"/>
              <w:jc w:val="center"/>
              <w:rPr>
                <w:rFonts w:hint="eastAsia" w:eastAsia="宋体"/>
                <w:color w:val="auto"/>
                <w:highlight w:val="none"/>
                <w:lang w:val="en-US" w:eastAsia="zh-CN"/>
              </w:rPr>
            </w:pPr>
            <w:r>
              <w:rPr>
                <w:rFonts w:hint="eastAsia"/>
                <w:color w:val="auto"/>
                <w:highlight w:val="none"/>
                <w:lang w:val="en-US" w:eastAsia="zh-CN"/>
              </w:rPr>
              <w:t>4</w:t>
            </w:r>
          </w:p>
        </w:tc>
        <w:tc>
          <w:tcPr>
            <w:tcW w:w="3013" w:type="dxa"/>
            <w:shd w:val="clear" w:color="auto" w:fill="auto"/>
            <w:vAlign w:val="center"/>
          </w:tcPr>
          <w:p w14:paraId="2503BF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报价</w:t>
            </w:r>
            <w:r>
              <w:rPr>
                <w:rFonts w:hint="eastAsia" w:ascii="宋体" w:hAnsi="宋体" w:eastAsia="宋体" w:cs="宋体"/>
                <w:color w:val="auto"/>
                <w:sz w:val="21"/>
                <w:szCs w:val="21"/>
                <w:highlight w:val="none"/>
              </w:rPr>
              <w:t>要求</w:t>
            </w:r>
          </w:p>
        </w:tc>
        <w:tc>
          <w:tcPr>
            <w:tcW w:w="3159" w:type="dxa"/>
          </w:tcPr>
          <w:p w14:paraId="1FD898A1">
            <w:pPr>
              <w:keepNext w:val="0"/>
              <w:keepLines w:val="0"/>
              <w:suppressLineNumbers w:val="0"/>
              <w:spacing w:before="0" w:beforeAutospacing="0" w:after="0" w:afterAutospacing="0"/>
              <w:ind w:left="0" w:right="0"/>
              <w:rPr>
                <w:rFonts w:hint="default"/>
                <w:color w:val="auto"/>
                <w:highlight w:val="none"/>
              </w:rPr>
            </w:pPr>
          </w:p>
        </w:tc>
        <w:tc>
          <w:tcPr>
            <w:tcW w:w="1571" w:type="dxa"/>
            <w:vAlign w:val="center"/>
          </w:tcPr>
          <w:p w14:paraId="6512EE74">
            <w:pPr>
              <w:keepNext w:val="0"/>
              <w:keepLines w:val="0"/>
              <w:suppressLineNumbers w:val="0"/>
              <w:spacing w:before="0" w:beforeAutospacing="0" w:after="0" w:afterAutospacing="0"/>
              <w:ind w:left="0" w:right="0"/>
              <w:jc w:val="center"/>
              <w:rPr>
                <w:rFonts w:hint="default"/>
                <w:color w:val="auto"/>
                <w:highlight w:val="none"/>
              </w:rPr>
            </w:pPr>
          </w:p>
        </w:tc>
        <w:tc>
          <w:tcPr>
            <w:tcW w:w="1460" w:type="dxa"/>
            <w:vAlign w:val="center"/>
          </w:tcPr>
          <w:p w14:paraId="3D1F09DB">
            <w:pPr>
              <w:keepNext w:val="0"/>
              <w:keepLines w:val="0"/>
              <w:suppressLineNumbers w:val="0"/>
              <w:spacing w:before="0" w:beforeAutospacing="0" w:after="0" w:afterAutospacing="0"/>
              <w:ind w:left="0" w:right="0"/>
              <w:jc w:val="center"/>
              <w:rPr>
                <w:rFonts w:hint="default"/>
                <w:color w:val="auto"/>
                <w:highlight w:val="none"/>
              </w:rPr>
            </w:pPr>
          </w:p>
        </w:tc>
      </w:tr>
      <w:tr w14:paraId="42088BF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00" w:hRule="atLeast"/>
        </w:trPr>
        <w:tc>
          <w:tcPr>
            <w:tcW w:w="651" w:type="dxa"/>
            <w:vAlign w:val="center"/>
          </w:tcPr>
          <w:p w14:paraId="11236AC9">
            <w:pPr>
              <w:keepNext w:val="0"/>
              <w:keepLines w:val="0"/>
              <w:suppressLineNumbers w:val="0"/>
              <w:spacing w:before="0" w:beforeAutospacing="0" w:after="0" w:afterAutospacing="0"/>
              <w:ind w:left="0" w:right="0"/>
              <w:jc w:val="center"/>
              <w:rPr>
                <w:rFonts w:hint="eastAsia" w:eastAsia="宋体"/>
                <w:color w:val="auto"/>
                <w:highlight w:val="none"/>
                <w:lang w:val="en-US" w:eastAsia="zh-CN"/>
              </w:rPr>
            </w:pPr>
            <w:r>
              <w:rPr>
                <w:rFonts w:hint="eastAsia"/>
                <w:color w:val="auto"/>
                <w:highlight w:val="none"/>
                <w:lang w:val="en-US" w:eastAsia="zh-CN"/>
              </w:rPr>
              <w:t>5</w:t>
            </w:r>
          </w:p>
        </w:tc>
        <w:tc>
          <w:tcPr>
            <w:tcW w:w="3013" w:type="dxa"/>
            <w:shd w:val="clear" w:color="auto" w:fill="auto"/>
            <w:vAlign w:val="center"/>
          </w:tcPr>
          <w:p w14:paraId="0F7ED4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highlight w:val="none"/>
                <w:lang w:val="en-US" w:eastAsia="zh-CN"/>
              </w:rPr>
              <w:t>验收要求</w:t>
            </w:r>
          </w:p>
        </w:tc>
        <w:tc>
          <w:tcPr>
            <w:tcW w:w="3159" w:type="dxa"/>
          </w:tcPr>
          <w:p w14:paraId="0838AF8C">
            <w:pPr>
              <w:keepNext w:val="0"/>
              <w:keepLines w:val="0"/>
              <w:suppressLineNumbers w:val="0"/>
              <w:spacing w:before="0" w:beforeAutospacing="0" w:after="0" w:afterAutospacing="0"/>
              <w:ind w:left="0" w:right="0"/>
              <w:rPr>
                <w:rFonts w:hint="default"/>
                <w:color w:val="auto"/>
                <w:highlight w:val="none"/>
              </w:rPr>
            </w:pPr>
          </w:p>
        </w:tc>
        <w:tc>
          <w:tcPr>
            <w:tcW w:w="1571" w:type="dxa"/>
            <w:vAlign w:val="center"/>
          </w:tcPr>
          <w:p w14:paraId="0535ED5D">
            <w:pPr>
              <w:keepNext w:val="0"/>
              <w:keepLines w:val="0"/>
              <w:suppressLineNumbers w:val="0"/>
              <w:spacing w:before="0" w:beforeAutospacing="0" w:after="0" w:afterAutospacing="0"/>
              <w:ind w:left="0" w:right="0"/>
              <w:jc w:val="center"/>
              <w:rPr>
                <w:rFonts w:hint="default"/>
                <w:color w:val="auto"/>
                <w:highlight w:val="none"/>
              </w:rPr>
            </w:pPr>
          </w:p>
        </w:tc>
        <w:tc>
          <w:tcPr>
            <w:tcW w:w="1460" w:type="dxa"/>
            <w:vAlign w:val="center"/>
          </w:tcPr>
          <w:p w14:paraId="6DF2BB42">
            <w:pPr>
              <w:keepNext w:val="0"/>
              <w:keepLines w:val="0"/>
              <w:suppressLineNumbers w:val="0"/>
              <w:spacing w:before="0" w:beforeAutospacing="0" w:after="0" w:afterAutospacing="0"/>
              <w:ind w:left="0" w:right="0"/>
              <w:jc w:val="center"/>
              <w:rPr>
                <w:rFonts w:hint="default"/>
                <w:color w:val="auto"/>
                <w:highlight w:val="none"/>
              </w:rPr>
            </w:pPr>
          </w:p>
        </w:tc>
      </w:tr>
      <w:tr w14:paraId="34E9C95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854" w:type="dxa"/>
            <w:gridSpan w:val="5"/>
            <w:vAlign w:val="center"/>
          </w:tcPr>
          <w:p w14:paraId="10904FB7">
            <w:pPr>
              <w:keepNext w:val="0"/>
              <w:keepLines w:val="0"/>
              <w:suppressLineNumbers w:val="0"/>
              <w:spacing w:before="0" w:beforeAutospacing="0" w:after="0" w:afterAutospacing="0"/>
              <w:ind w:left="0" w:right="0"/>
              <w:jc w:val="center"/>
              <w:rPr>
                <w:rFonts w:hint="default"/>
                <w:highlight w:val="none"/>
              </w:rPr>
            </w:pPr>
            <w:r>
              <w:rPr>
                <w:rFonts w:hint="eastAsia"/>
                <w:highlight w:val="none"/>
              </w:rPr>
              <w:t>服务部分（内容和要求）</w:t>
            </w:r>
          </w:p>
        </w:tc>
      </w:tr>
      <w:tr w14:paraId="2DA0CF0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14:paraId="10887575">
            <w:pPr>
              <w:keepNext w:val="0"/>
              <w:keepLines w:val="0"/>
              <w:suppressLineNumbers w:val="0"/>
              <w:spacing w:before="0" w:beforeAutospacing="0" w:after="0" w:afterAutospacing="0"/>
              <w:ind w:left="0" w:right="0"/>
              <w:jc w:val="center"/>
              <w:rPr>
                <w:rFonts w:hint="default"/>
                <w:highlight w:val="none"/>
              </w:rPr>
            </w:pPr>
            <w:bookmarkStart w:id="58" w:name="_Toc476258668"/>
            <w:r>
              <w:rPr>
                <w:rFonts w:hint="eastAsia"/>
                <w:highlight w:val="none"/>
              </w:rPr>
              <w:t>1</w:t>
            </w:r>
            <w:bookmarkEnd w:id="58"/>
          </w:p>
        </w:tc>
        <w:tc>
          <w:tcPr>
            <w:tcW w:w="3013" w:type="dxa"/>
            <w:vAlign w:val="center"/>
          </w:tcPr>
          <w:p w14:paraId="1AE9C04D">
            <w:pPr>
              <w:keepNext w:val="0"/>
              <w:keepLines w:val="0"/>
              <w:suppressLineNumbers w:val="0"/>
              <w:spacing w:before="0" w:beforeAutospacing="0" w:after="0" w:afterAutospacing="0"/>
              <w:ind w:left="0" w:right="0"/>
              <w:rPr>
                <w:rFonts w:hint="default"/>
                <w:highlight w:val="none"/>
              </w:rPr>
            </w:pPr>
          </w:p>
        </w:tc>
        <w:tc>
          <w:tcPr>
            <w:tcW w:w="3159" w:type="dxa"/>
            <w:vAlign w:val="center"/>
          </w:tcPr>
          <w:p w14:paraId="7AEBD885">
            <w:pPr>
              <w:keepNext w:val="0"/>
              <w:keepLines w:val="0"/>
              <w:suppressLineNumbers w:val="0"/>
              <w:spacing w:before="0" w:beforeAutospacing="0" w:after="0" w:afterAutospacing="0"/>
              <w:ind w:left="0" w:right="0"/>
              <w:rPr>
                <w:rFonts w:hint="default"/>
                <w:highlight w:val="none"/>
              </w:rPr>
            </w:pPr>
          </w:p>
        </w:tc>
        <w:tc>
          <w:tcPr>
            <w:tcW w:w="1571" w:type="dxa"/>
            <w:vAlign w:val="center"/>
          </w:tcPr>
          <w:p w14:paraId="16F32F61">
            <w:pPr>
              <w:keepNext w:val="0"/>
              <w:keepLines w:val="0"/>
              <w:suppressLineNumbers w:val="0"/>
              <w:spacing w:before="0" w:beforeAutospacing="0" w:after="0" w:afterAutospacing="0"/>
              <w:ind w:left="0" w:right="0"/>
              <w:rPr>
                <w:rFonts w:hint="default"/>
                <w:highlight w:val="none"/>
              </w:rPr>
            </w:pPr>
          </w:p>
        </w:tc>
        <w:tc>
          <w:tcPr>
            <w:tcW w:w="1460" w:type="dxa"/>
            <w:vAlign w:val="center"/>
          </w:tcPr>
          <w:p w14:paraId="15950FA1">
            <w:pPr>
              <w:keepNext w:val="0"/>
              <w:keepLines w:val="0"/>
              <w:suppressLineNumbers w:val="0"/>
              <w:spacing w:before="0" w:beforeAutospacing="0" w:after="0" w:afterAutospacing="0"/>
              <w:ind w:left="0" w:right="0"/>
              <w:rPr>
                <w:rFonts w:hint="default"/>
                <w:highlight w:val="none"/>
              </w:rPr>
            </w:pPr>
          </w:p>
        </w:tc>
      </w:tr>
      <w:tr w14:paraId="624982D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14:paraId="266A3AD9">
            <w:pPr>
              <w:keepNext w:val="0"/>
              <w:keepLines w:val="0"/>
              <w:suppressLineNumbers w:val="0"/>
              <w:spacing w:before="0" w:beforeAutospacing="0" w:after="0" w:afterAutospacing="0"/>
              <w:ind w:left="0" w:right="0"/>
              <w:jc w:val="center"/>
              <w:rPr>
                <w:rFonts w:hint="default"/>
                <w:highlight w:val="none"/>
              </w:rPr>
            </w:pPr>
            <w:bookmarkStart w:id="59" w:name="_Toc476258669"/>
            <w:r>
              <w:rPr>
                <w:rFonts w:hint="eastAsia"/>
                <w:highlight w:val="none"/>
              </w:rPr>
              <w:t>2</w:t>
            </w:r>
            <w:bookmarkEnd w:id="59"/>
          </w:p>
        </w:tc>
        <w:tc>
          <w:tcPr>
            <w:tcW w:w="3013" w:type="dxa"/>
            <w:vAlign w:val="center"/>
          </w:tcPr>
          <w:p w14:paraId="340EF617">
            <w:pPr>
              <w:keepNext w:val="0"/>
              <w:keepLines w:val="0"/>
              <w:suppressLineNumbers w:val="0"/>
              <w:spacing w:before="0" w:beforeAutospacing="0" w:after="0" w:afterAutospacing="0"/>
              <w:ind w:left="0" w:right="0"/>
              <w:rPr>
                <w:rFonts w:hint="default"/>
                <w:highlight w:val="none"/>
              </w:rPr>
            </w:pPr>
          </w:p>
        </w:tc>
        <w:tc>
          <w:tcPr>
            <w:tcW w:w="3159" w:type="dxa"/>
            <w:vAlign w:val="center"/>
          </w:tcPr>
          <w:p w14:paraId="7F8C3800">
            <w:pPr>
              <w:keepNext w:val="0"/>
              <w:keepLines w:val="0"/>
              <w:suppressLineNumbers w:val="0"/>
              <w:spacing w:before="0" w:beforeAutospacing="0" w:after="0" w:afterAutospacing="0"/>
              <w:ind w:left="0" w:right="0"/>
              <w:rPr>
                <w:rFonts w:hint="default"/>
                <w:highlight w:val="none"/>
              </w:rPr>
            </w:pPr>
          </w:p>
        </w:tc>
        <w:tc>
          <w:tcPr>
            <w:tcW w:w="1571" w:type="dxa"/>
            <w:vAlign w:val="center"/>
          </w:tcPr>
          <w:p w14:paraId="02DDA952">
            <w:pPr>
              <w:keepNext w:val="0"/>
              <w:keepLines w:val="0"/>
              <w:suppressLineNumbers w:val="0"/>
              <w:spacing w:before="0" w:beforeAutospacing="0" w:after="0" w:afterAutospacing="0"/>
              <w:ind w:left="0" w:right="0"/>
              <w:rPr>
                <w:rFonts w:hint="default"/>
                <w:highlight w:val="none"/>
              </w:rPr>
            </w:pPr>
          </w:p>
        </w:tc>
        <w:tc>
          <w:tcPr>
            <w:tcW w:w="1460" w:type="dxa"/>
            <w:vAlign w:val="center"/>
          </w:tcPr>
          <w:p w14:paraId="673E233D">
            <w:pPr>
              <w:keepNext w:val="0"/>
              <w:keepLines w:val="0"/>
              <w:suppressLineNumbers w:val="0"/>
              <w:spacing w:before="0" w:beforeAutospacing="0" w:after="0" w:afterAutospacing="0"/>
              <w:ind w:left="0" w:right="0"/>
              <w:rPr>
                <w:rFonts w:hint="default"/>
                <w:highlight w:val="none"/>
              </w:rPr>
            </w:pPr>
          </w:p>
        </w:tc>
      </w:tr>
      <w:tr w14:paraId="5C10105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14:paraId="50B159A9">
            <w:pPr>
              <w:keepNext w:val="0"/>
              <w:keepLines w:val="0"/>
              <w:suppressLineNumbers w:val="0"/>
              <w:spacing w:before="0" w:beforeAutospacing="0" w:after="0" w:afterAutospacing="0"/>
              <w:ind w:left="0" w:right="0"/>
              <w:jc w:val="center"/>
              <w:rPr>
                <w:rFonts w:hint="default"/>
                <w:highlight w:val="none"/>
              </w:rPr>
            </w:pPr>
            <w:bookmarkStart w:id="60" w:name="_Toc476258670"/>
            <w:r>
              <w:rPr>
                <w:rFonts w:hint="eastAsia"/>
                <w:highlight w:val="none"/>
              </w:rPr>
              <w:t>3</w:t>
            </w:r>
            <w:bookmarkEnd w:id="60"/>
          </w:p>
        </w:tc>
        <w:tc>
          <w:tcPr>
            <w:tcW w:w="3013" w:type="dxa"/>
            <w:vAlign w:val="center"/>
          </w:tcPr>
          <w:p w14:paraId="0274700A">
            <w:pPr>
              <w:keepNext w:val="0"/>
              <w:keepLines w:val="0"/>
              <w:suppressLineNumbers w:val="0"/>
              <w:spacing w:before="0" w:beforeAutospacing="0" w:after="0" w:afterAutospacing="0"/>
              <w:ind w:left="0" w:right="0"/>
              <w:rPr>
                <w:rFonts w:hint="default"/>
                <w:highlight w:val="none"/>
              </w:rPr>
            </w:pPr>
          </w:p>
        </w:tc>
        <w:tc>
          <w:tcPr>
            <w:tcW w:w="3159" w:type="dxa"/>
            <w:vAlign w:val="center"/>
          </w:tcPr>
          <w:p w14:paraId="2579762B">
            <w:pPr>
              <w:keepNext w:val="0"/>
              <w:keepLines w:val="0"/>
              <w:suppressLineNumbers w:val="0"/>
              <w:spacing w:before="0" w:beforeAutospacing="0" w:after="0" w:afterAutospacing="0"/>
              <w:ind w:left="0" w:right="0"/>
              <w:rPr>
                <w:rFonts w:hint="default"/>
                <w:highlight w:val="none"/>
              </w:rPr>
            </w:pPr>
          </w:p>
        </w:tc>
        <w:tc>
          <w:tcPr>
            <w:tcW w:w="1571" w:type="dxa"/>
            <w:vAlign w:val="center"/>
          </w:tcPr>
          <w:p w14:paraId="26993A90">
            <w:pPr>
              <w:keepNext w:val="0"/>
              <w:keepLines w:val="0"/>
              <w:suppressLineNumbers w:val="0"/>
              <w:spacing w:before="0" w:beforeAutospacing="0" w:after="0" w:afterAutospacing="0"/>
              <w:ind w:left="0" w:right="0"/>
              <w:rPr>
                <w:rFonts w:hint="default"/>
                <w:highlight w:val="none"/>
              </w:rPr>
            </w:pPr>
          </w:p>
        </w:tc>
        <w:tc>
          <w:tcPr>
            <w:tcW w:w="1460" w:type="dxa"/>
            <w:vAlign w:val="center"/>
          </w:tcPr>
          <w:p w14:paraId="30273B91">
            <w:pPr>
              <w:keepNext w:val="0"/>
              <w:keepLines w:val="0"/>
              <w:suppressLineNumbers w:val="0"/>
              <w:spacing w:before="0" w:beforeAutospacing="0" w:after="0" w:afterAutospacing="0"/>
              <w:ind w:left="0" w:right="0"/>
              <w:rPr>
                <w:rFonts w:hint="default"/>
                <w:highlight w:val="none"/>
              </w:rPr>
            </w:pPr>
          </w:p>
        </w:tc>
      </w:tr>
      <w:tr w14:paraId="034A3F0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651" w:type="dxa"/>
            <w:vAlign w:val="center"/>
          </w:tcPr>
          <w:p w14:paraId="166DA222">
            <w:pPr>
              <w:keepNext w:val="0"/>
              <w:keepLines w:val="0"/>
              <w:suppressLineNumbers w:val="0"/>
              <w:spacing w:before="0" w:beforeAutospacing="0" w:after="0" w:afterAutospacing="0"/>
              <w:ind w:left="0" w:right="0"/>
              <w:jc w:val="center"/>
              <w:rPr>
                <w:rFonts w:hint="default"/>
                <w:highlight w:val="none"/>
              </w:rPr>
            </w:pPr>
            <w:bookmarkStart w:id="61" w:name="_Toc476258671"/>
            <w:r>
              <w:rPr>
                <w:rFonts w:hint="eastAsia"/>
                <w:highlight w:val="none"/>
              </w:rPr>
              <w:t>…</w:t>
            </w:r>
            <w:bookmarkEnd w:id="61"/>
          </w:p>
        </w:tc>
        <w:tc>
          <w:tcPr>
            <w:tcW w:w="3013" w:type="dxa"/>
            <w:vAlign w:val="center"/>
          </w:tcPr>
          <w:p w14:paraId="50BD1231">
            <w:pPr>
              <w:keepNext w:val="0"/>
              <w:keepLines w:val="0"/>
              <w:suppressLineNumbers w:val="0"/>
              <w:spacing w:before="0" w:beforeAutospacing="0" w:after="0" w:afterAutospacing="0"/>
              <w:ind w:left="0" w:right="0"/>
              <w:rPr>
                <w:rFonts w:hint="default"/>
                <w:highlight w:val="none"/>
              </w:rPr>
            </w:pPr>
          </w:p>
        </w:tc>
        <w:tc>
          <w:tcPr>
            <w:tcW w:w="3159" w:type="dxa"/>
            <w:vAlign w:val="center"/>
          </w:tcPr>
          <w:p w14:paraId="39ADD5A7">
            <w:pPr>
              <w:keepNext w:val="0"/>
              <w:keepLines w:val="0"/>
              <w:suppressLineNumbers w:val="0"/>
              <w:spacing w:before="0" w:beforeAutospacing="0" w:after="0" w:afterAutospacing="0"/>
              <w:ind w:left="0" w:right="0"/>
              <w:rPr>
                <w:rFonts w:hint="default"/>
                <w:highlight w:val="none"/>
              </w:rPr>
            </w:pPr>
          </w:p>
        </w:tc>
        <w:tc>
          <w:tcPr>
            <w:tcW w:w="1571" w:type="dxa"/>
            <w:tcBorders>
              <w:right w:val="single" w:color="auto" w:sz="4" w:space="0"/>
            </w:tcBorders>
            <w:vAlign w:val="center"/>
          </w:tcPr>
          <w:p w14:paraId="6EF05208">
            <w:pPr>
              <w:keepNext w:val="0"/>
              <w:keepLines w:val="0"/>
              <w:suppressLineNumbers w:val="0"/>
              <w:spacing w:before="0" w:beforeAutospacing="0" w:after="0" w:afterAutospacing="0"/>
              <w:ind w:left="0" w:right="0"/>
              <w:rPr>
                <w:rFonts w:hint="default"/>
                <w:highlight w:val="none"/>
              </w:rPr>
            </w:pPr>
          </w:p>
        </w:tc>
        <w:tc>
          <w:tcPr>
            <w:tcW w:w="1460" w:type="dxa"/>
            <w:tcBorders>
              <w:left w:val="single" w:color="auto" w:sz="4" w:space="0"/>
            </w:tcBorders>
            <w:vAlign w:val="center"/>
          </w:tcPr>
          <w:p w14:paraId="511FE1D9">
            <w:pPr>
              <w:keepNext w:val="0"/>
              <w:keepLines w:val="0"/>
              <w:suppressLineNumbers w:val="0"/>
              <w:spacing w:before="0" w:beforeAutospacing="0" w:after="0" w:afterAutospacing="0"/>
              <w:ind w:left="0" w:right="0"/>
              <w:rPr>
                <w:rFonts w:hint="default"/>
                <w:highlight w:val="none"/>
              </w:rPr>
            </w:pPr>
          </w:p>
        </w:tc>
      </w:tr>
      <w:bookmarkEnd w:id="54"/>
      <w:bookmarkEnd w:id="55"/>
      <w:bookmarkEnd w:id="56"/>
      <w:bookmarkEnd w:id="57"/>
    </w:tbl>
    <w:p w14:paraId="2678541F">
      <w:pPr>
        <w:adjustRightInd w:val="0"/>
        <w:snapToGrid w:val="0"/>
        <w:spacing w:line="360" w:lineRule="exact"/>
        <w:rPr>
          <w:rFonts w:ascii="宋体" w:hAnsi="宋体"/>
          <w:b/>
          <w:szCs w:val="21"/>
          <w:highlight w:val="none"/>
        </w:rPr>
      </w:pPr>
      <w:r>
        <w:rPr>
          <w:rFonts w:hint="eastAsia" w:ascii="宋体" w:hAnsi="宋体"/>
          <w:b/>
          <w:szCs w:val="21"/>
          <w:highlight w:val="none"/>
        </w:rPr>
        <w:t>说明：</w:t>
      </w:r>
      <w:r>
        <w:rPr>
          <w:rFonts w:hint="eastAsia" w:hAnsi="宋体"/>
          <w:b/>
          <w:highlight w:val="none"/>
        </w:rPr>
        <w:t>1、应写明竞</w:t>
      </w:r>
      <w:r>
        <w:rPr>
          <w:rFonts w:hint="eastAsia" w:ascii="宋体" w:hAnsi="宋体"/>
          <w:b/>
          <w:szCs w:val="21"/>
          <w:highlight w:val="none"/>
        </w:rPr>
        <w:t>争性磋商响应文件对</w:t>
      </w:r>
      <w:r>
        <w:rPr>
          <w:rFonts w:hint="eastAsia"/>
          <w:b/>
          <w:highlight w:val="none"/>
        </w:rPr>
        <w:t>商务</w:t>
      </w:r>
      <w:r>
        <w:rPr>
          <w:rFonts w:hint="eastAsia" w:hAnsi="宋体"/>
          <w:b/>
          <w:highlight w:val="none"/>
        </w:rPr>
        <w:t>与服务要求的</w:t>
      </w:r>
      <w:r>
        <w:rPr>
          <w:rFonts w:hint="eastAsia" w:ascii="宋体" w:hAnsi="宋体"/>
          <w:b/>
          <w:szCs w:val="21"/>
          <w:highlight w:val="none"/>
        </w:rPr>
        <w:t>响应和偏离情况</w:t>
      </w:r>
      <w:r>
        <w:rPr>
          <w:rFonts w:hint="eastAsia"/>
          <w:b/>
          <w:bCs/>
          <w:szCs w:val="21"/>
          <w:highlight w:val="none"/>
        </w:rPr>
        <w:t>；</w:t>
      </w:r>
    </w:p>
    <w:p w14:paraId="47066B71">
      <w:pPr>
        <w:pStyle w:val="8"/>
        <w:spacing w:line="360" w:lineRule="exact"/>
        <w:ind w:firstLine="632" w:firstLineChars="300"/>
        <w:rPr>
          <w:rFonts w:ascii="宋体" w:hAnsi="宋体" w:eastAsia="宋体"/>
          <w:b/>
          <w:sz w:val="21"/>
          <w:szCs w:val="21"/>
          <w:highlight w:val="none"/>
        </w:rPr>
      </w:pPr>
      <w:r>
        <w:rPr>
          <w:rFonts w:hint="eastAsia" w:ascii="宋体" w:hAnsi="宋体" w:eastAsia="宋体"/>
          <w:b/>
          <w:sz w:val="21"/>
          <w:szCs w:val="21"/>
          <w:highlight w:val="none"/>
        </w:rPr>
        <w:t>2、应对照竞争性磋商文件“第三章 采购项目技术规格、参数及要求”，逐条说明所提供货物和服务已对竞争性磋商文件的商务、服务做出了实质性的响应，并申明商务、技术条文的响应和偏离。特别对有具体商务、服务参数要求的，磋商供应商必须提供对应的详细应答。</w:t>
      </w:r>
    </w:p>
    <w:p w14:paraId="328D05C1">
      <w:pPr>
        <w:pStyle w:val="10"/>
        <w:spacing w:line="360" w:lineRule="exact"/>
        <w:rPr>
          <w:rFonts w:hAnsi="宋体"/>
          <w:highlight w:val="none"/>
        </w:rPr>
      </w:pPr>
    </w:p>
    <w:p w14:paraId="3187FDB2">
      <w:pPr>
        <w:pStyle w:val="10"/>
        <w:spacing w:line="500" w:lineRule="exact"/>
        <w:ind w:firstLine="4200" w:firstLineChars="2000"/>
        <w:rPr>
          <w:rFonts w:hAnsi="宋体"/>
          <w:highlight w:val="none"/>
          <w:u w:val="single"/>
        </w:rPr>
      </w:pPr>
      <w:r>
        <w:rPr>
          <w:rFonts w:hint="eastAsia" w:hAnsi="宋体"/>
          <w:highlight w:val="none"/>
        </w:rPr>
        <w:t>法定代表人或委托代理人（签字）</w:t>
      </w:r>
      <w:r>
        <w:rPr>
          <w:rFonts w:hint="eastAsia" w:hAnsi="宋体"/>
          <w:highlight w:val="none"/>
          <w:lang w:eastAsia="zh-CN"/>
        </w:rPr>
        <w:t>：</w:t>
      </w:r>
      <w:r>
        <w:rPr>
          <w:rFonts w:hint="eastAsia" w:hAnsi="宋体"/>
          <w:highlight w:val="none"/>
          <w:u w:val="single"/>
        </w:rPr>
        <w:t xml:space="preserve">              </w:t>
      </w:r>
    </w:p>
    <w:p w14:paraId="3BEB6338">
      <w:pPr>
        <w:pStyle w:val="10"/>
        <w:spacing w:line="500" w:lineRule="exact"/>
        <w:ind w:firstLine="4200" w:firstLineChars="2000"/>
        <w:rPr>
          <w:rFonts w:hAnsi="宋体"/>
          <w:highlight w:val="none"/>
          <w:u w:val="single"/>
        </w:rPr>
      </w:pPr>
      <w:r>
        <w:rPr>
          <w:rFonts w:hint="eastAsia" w:hAnsi="宋体"/>
          <w:highlight w:val="none"/>
        </w:rPr>
        <w:t>磋商供应商名称（盖章）：</w:t>
      </w:r>
      <w:r>
        <w:rPr>
          <w:rFonts w:hint="eastAsia" w:hAnsi="宋体"/>
          <w:highlight w:val="none"/>
          <w:u w:val="single"/>
        </w:rPr>
        <w:t xml:space="preserve">                     </w:t>
      </w:r>
    </w:p>
    <w:p w14:paraId="2F83D1C1">
      <w:pPr>
        <w:spacing w:line="500" w:lineRule="exact"/>
        <w:ind w:firstLine="4200" w:firstLineChars="2000"/>
        <w:rPr>
          <w:rFonts w:hAnsi="宋体"/>
          <w:highlight w:val="none"/>
        </w:rPr>
      </w:pPr>
      <w:r>
        <w:rPr>
          <w:rFonts w:hint="eastAsia" w:hAnsi="宋体"/>
          <w:highlight w:val="none"/>
        </w:rPr>
        <w:t>日期：</w:t>
      </w:r>
      <w:r>
        <w:rPr>
          <w:rFonts w:hint="eastAsia" w:hAnsi="宋体"/>
          <w:highlight w:val="none"/>
          <w:u w:val="single"/>
        </w:rPr>
        <w:t xml:space="preserve">      </w:t>
      </w:r>
      <w:r>
        <w:rPr>
          <w:rFonts w:hint="eastAsia" w:hAnsi="宋体"/>
          <w:highlight w:val="none"/>
        </w:rPr>
        <w:t>年</w:t>
      </w:r>
      <w:r>
        <w:rPr>
          <w:rFonts w:hint="eastAsia" w:hAnsi="宋体"/>
          <w:highlight w:val="none"/>
          <w:u w:val="single"/>
        </w:rPr>
        <w:t xml:space="preserve">   </w:t>
      </w:r>
      <w:r>
        <w:rPr>
          <w:rFonts w:hint="eastAsia" w:hAnsi="宋体"/>
          <w:highlight w:val="none"/>
        </w:rPr>
        <w:t>月</w:t>
      </w:r>
      <w:r>
        <w:rPr>
          <w:rFonts w:hint="eastAsia" w:hAnsi="宋体"/>
          <w:highlight w:val="none"/>
          <w:u w:val="single"/>
        </w:rPr>
        <w:t xml:space="preserve">    </w:t>
      </w:r>
      <w:r>
        <w:rPr>
          <w:rFonts w:hint="eastAsia" w:hAnsi="宋体"/>
          <w:highlight w:val="none"/>
        </w:rPr>
        <w:t>日</w:t>
      </w:r>
    </w:p>
    <w:p w14:paraId="57DDAB6F">
      <w:pPr>
        <w:snapToGrid w:val="0"/>
        <w:spacing w:before="156" w:beforeLines="50" w:line="380" w:lineRule="exact"/>
        <w:ind w:right="480" w:firstLine="4792" w:firstLineChars="2282"/>
        <w:rPr>
          <w:rFonts w:hAnsi="宋体"/>
          <w:highlight w:val="none"/>
          <w:u w:val="single"/>
        </w:rPr>
      </w:pPr>
    </w:p>
    <w:p w14:paraId="04D56C62">
      <w:pPr>
        <w:spacing w:line="300" w:lineRule="auto"/>
        <w:rPr>
          <w:rFonts w:ascii="宋体" w:hAnsi="宋体"/>
          <w:szCs w:val="21"/>
          <w:highlight w:val="none"/>
        </w:rPr>
      </w:pPr>
    </w:p>
    <w:p w14:paraId="039BB22B">
      <w:pPr>
        <w:spacing w:line="300" w:lineRule="auto"/>
        <w:rPr>
          <w:rFonts w:ascii="宋体" w:hAnsi="宋体"/>
          <w:szCs w:val="21"/>
          <w:highlight w:val="none"/>
        </w:rPr>
      </w:pPr>
    </w:p>
    <w:p w14:paraId="79F03CF5">
      <w:pPr>
        <w:spacing w:line="500" w:lineRule="exact"/>
        <w:rPr>
          <w:rFonts w:ascii="宋体" w:hAnsi="宋体"/>
          <w:b/>
          <w:szCs w:val="21"/>
          <w:highlight w:val="none"/>
        </w:rPr>
      </w:pPr>
      <w:r>
        <w:rPr>
          <w:rFonts w:ascii="宋体" w:hAnsi="宋体"/>
          <w:szCs w:val="21"/>
          <w:highlight w:val="none"/>
        </w:rPr>
        <w:br w:type="page"/>
      </w:r>
      <w:r>
        <w:rPr>
          <w:rFonts w:hint="eastAsia" w:ascii="宋体" w:hAnsi="宋体"/>
          <w:b/>
          <w:szCs w:val="21"/>
          <w:highlight w:val="none"/>
        </w:rPr>
        <w:t>附件四</w:t>
      </w:r>
    </w:p>
    <w:p w14:paraId="790F0007">
      <w:pPr>
        <w:adjustRightInd w:val="0"/>
        <w:snapToGrid w:val="0"/>
        <w:spacing w:line="300" w:lineRule="auto"/>
        <w:jc w:val="center"/>
        <w:rPr>
          <w:rFonts w:ascii="宋体" w:hAnsi="宋体"/>
          <w:b/>
          <w:sz w:val="32"/>
          <w:szCs w:val="32"/>
          <w:highlight w:val="none"/>
        </w:rPr>
      </w:pPr>
      <w:r>
        <w:rPr>
          <w:rFonts w:hint="eastAsia" w:ascii="宋体" w:hAnsi="宋体"/>
          <w:b/>
          <w:sz w:val="32"/>
          <w:szCs w:val="32"/>
          <w:highlight w:val="none"/>
        </w:rPr>
        <w:t>法定代表人授权委托书</w:t>
      </w:r>
    </w:p>
    <w:p w14:paraId="68969DAB">
      <w:pPr>
        <w:adjustRightInd w:val="0"/>
        <w:snapToGrid w:val="0"/>
        <w:spacing w:line="520" w:lineRule="exact"/>
        <w:rPr>
          <w:rFonts w:ascii="宋体" w:hAnsi="宋体"/>
          <w:szCs w:val="21"/>
          <w:highlight w:val="none"/>
        </w:rPr>
      </w:pPr>
    </w:p>
    <w:p w14:paraId="5A83EA48">
      <w:pPr>
        <w:spacing w:line="520" w:lineRule="exact"/>
        <w:rPr>
          <w:rFonts w:ascii="宋体" w:hAnsi="宋体"/>
          <w:szCs w:val="21"/>
          <w:highlight w:val="none"/>
        </w:rPr>
      </w:pPr>
      <w:r>
        <w:rPr>
          <w:rFonts w:hint="eastAsia" w:ascii="宋体" w:hAnsi="宋体"/>
          <w:szCs w:val="21"/>
          <w:highlight w:val="none"/>
          <w:u w:val="single"/>
        </w:rPr>
        <w:t>广西国力招标有限公司</w:t>
      </w:r>
      <w:r>
        <w:rPr>
          <w:rFonts w:hint="eastAsia" w:ascii="宋体" w:hAnsi="宋体"/>
          <w:szCs w:val="21"/>
          <w:highlight w:val="none"/>
        </w:rPr>
        <w:t>：</w:t>
      </w:r>
    </w:p>
    <w:p w14:paraId="4951BB8A">
      <w:pPr>
        <w:spacing w:line="520" w:lineRule="exact"/>
        <w:ind w:firstLine="420" w:firstLineChars="200"/>
        <w:rPr>
          <w:rFonts w:ascii="宋体" w:hAnsi="宋体"/>
          <w:szCs w:val="21"/>
          <w:highlight w:val="none"/>
        </w:rPr>
      </w:pPr>
      <w:r>
        <w:rPr>
          <w:rFonts w:hint="eastAsia" w:ascii="宋体" w:hAnsi="宋体"/>
          <w:szCs w:val="21"/>
          <w:highlight w:val="none"/>
        </w:rPr>
        <w:t>兹授权</w:t>
      </w:r>
      <w:r>
        <w:rPr>
          <w:rFonts w:hint="eastAsia" w:ascii="宋体" w:hAnsi="宋体"/>
          <w:szCs w:val="21"/>
          <w:highlight w:val="none"/>
          <w:u w:val="single"/>
        </w:rPr>
        <w:t xml:space="preserve">         </w:t>
      </w:r>
      <w:r>
        <w:rPr>
          <w:rFonts w:hint="eastAsia" w:ascii="宋体" w:hAnsi="宋体"/>
          <w:szCs w:val="21"/>
          <w:highlight w:val="none"/>
        </w:rPr>
        <w:t>同志为我公司参加贵单位组织的</w:t>
      </w:r>
      <w:r>
        <w:rPr>
          <w:rFonts w:hint="eastAsia" w:ascii="宋体" w:hAnsi="宋体"/>
          <w:szCs w:val="21"/>
          <w:highlight w:val="none"/>
          <w:u w:val="single"/>
        </w:rPr>
        <w:t xml:space="preserve">        （采购项目名称、采购项目编号）竞争性磋商</w:t>
      </w:r>
      <w:r>
        <w:rPr>
          <w:rFonts w:hint="eastAsia" w:ascii="宋体" w:hAnsi="宋体"/>
          <w:szCs w:val="21"/>
          <w:highlight w:val="none"/>
        </w:rPr>
        <w:t>采购活动的委托代理人，全权代表我公司处理在该项目活动中的一切事宜。代理期限从</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日起至</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 xml:space="preserve">日止。 </w:t>
      </w:r>
    </w:p>
    <w:p w14:paraId="344EFFDC">
      <w:pPr>
        <w:spacing w:line="520" w:lineRule="exact"/>
        <w:rPr>
          <w:rFonts w:ascii="宋体" w:hAnsi="宋体"/>
          <w:szCs w:val="21"/>
          <w:highlight w:val="none"/>
        </w:rPr>
      </w:pPr>
    </w:p>
    <w:p w14:paraId="6BAB1B5A">
      <w:pPr>
        <w:spacing w:line="520" w:lineRule="exact"/>
        <w:rPr>
          <w:rFonts w:ascii="宋体" w:hAnsi="宋体"/>
          <w:szCs w:val="21"/>
          <w:highlight w:val="none"/>
        </w:rPr>
      </w:pPr>
      <w:r>
        <w:rPr>
          <w:rFonts w:hint="eastAsia" w:ascii="宋体" w:hAnsi="宋体"/>
          <w:szCs w:val="21"/>
          <w:highlight w:val="none"/>
        </w:rPr>
        <w:t>磋商供应商（盖章）：</w:t>
      </w:r>
      <w:r>
        <w:rPr>
          <w:rFonts w:hint="eastAsia" w:ascii="宋体" w:hAnsi="宋体"/>
          <w:szCs w:val="21"/>
          <w:highlight w:val="none"/>
          <w:u w:val="single"/>
        </w:rPr>
        <w:t xml:space="preserve">                   </w:t>
      </w:r>
    </w:p>
    <w:p w14:paraId="5ABB7B55">
      <w:pPr>
        <w:spacing w:line="520" w:lineRule="exact"/>
        <w:rPr>
          <w:rFonts w:ascii="宋体" w:hAnsi="宋体"/>
          <w:szCs w:val="21"/>
          <w:highlight w:val="none"/>
        </w:rPr>
      </w:pPr>
      <w:r>
        <w:rPr>
          <w:rFonts w:hint="eastAsia" w:ascii="宋体" w:hAnsi="宋体"/>
          <w:szCs w:val="21"/>
          <w:highlight w:val="none"/>
        </w:rPr>
        <w:t>法定代表人（签字或盖章）：</w:t>
      </w:r>
      <w:r>
        <w:rPr>
          <w:rFonts w:hint="eastAsia" w:ascii="宋体" w:hAnsi="宋体"/>
          <w:szCs w:val="21"/>
          <w:highlight w:val="none"/>
          <w:u w:val="single"/>
        </w:rPr>
        <w:t xml:space="preserve">             </w:t>
      </w:r>
    </w:p>
    <w:p w14:paraId="5B846392">
      <w:pPr>
        <w:spacing w:line="520" w:lineRule="exact"/>
        <w:rPr>
          <w:rFonts w:ascii="宋体" w:hAnsi="宋体"/>
          <w:szCs w:val="21"/>
          <w:highlight w:val="none"/>
        </w:rPr>
      </w:pPr>
      <w:r>
        <w:rPr>
          <w:rFonts w:hint="eastAsia" w:ascii="宋体" w:hAnsi="宋体"/>
          <w:szCs w:val="21"/>
          <w:highlight w:val="none"/>
        </w:rPr>
        <w:t>签发日期：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14B80633">
      <w:pPr>
        <w:spacing w:line="520" w:lineRule="exact"/>
        <w:rPr>
          <w:rFonts w:ascii="宋体" w:hAnsi="宋体"/>
          <w:szCs w:val="21"/>
          <w:highlight w:val="none"/>
        </w:rPr>
      </w:pPr>
    </w:p>
    <w:p w14:paraId="0E0C038A">
      <w:pPr>
        <w:spacing w:line="520" w:lineRule="exact"/>
        <w:rPr>
          <w:rFonts w:ascii="宋体" w:hAnsi="宋体"/>
          <w:szCs w:val="21"/>
          <w:highlight w:val="none"/>
        </w:rPr>
      </w:pPr>
      <w:r>
        <w:rPr>
          <w:rFonts w:hint="eastAsia" w:ascii="宋体" w:hAnsi="宋体"/>
          <w:szCs w:val="21"/>
          <w:highlight w:val="none"/>
        </w:rPr>
        <w:t>附：委托代理人工作单位：</w:t>
      </w:r>
      <w:r>
        <w:rPr>
          <w:rFonts w:hint="eastAsia" w:ascii="宋体" w:hAnsi="宋体"/>
          <w:szCs w:val="21"/>
          <w:highlight w:val="none"/>
          <w:u w:val="single"/>
        </w:rPr>
        <w:t xml:space="preserve">                      </w:t>
      </w:r>
    </w:p>
    <w:p w14:paraId="1AC2A37C">
      <w:pPr>
        <w:spacing w:line="520" w:lineRule="exact"/>
        <w:ind w:firstLine="420" w:firstLineChars="200"/>
        <w:rPr>
          <w:rFonts w:ascii="宋体" w:hAnsi="宋体"/>
          <w:szCs w:val="21"/>
          <w:highlight w:val="none"/>
        </w:rPr>
      </w:pPr>
      <w:r>
        <w:rPr>
          <w:rFonts w:hint="eastAsia" w:ascii="宋体" w:hAnsi="宋体"/>
          <w:szCs w:val="21"/>
          <w:highlight w:val="none"/>
        </w:rPr>
        <w:t>职务：</w:t>
      </w:r>
      <w:r>
        <w:rPr>
          <w:rFonts w:hint="eastAsia" w:ascii="宋体" w:hAnsi="宋体"/>
          <w:szCs w:val="21"/>
          <w:highlight w:val="none"/>
          <w:u w:val="single"/>
        </w:rPr>
        <w:t xml:space="preserve">                    </w:t>
      </w:r>
      <w:r>
        <w:rPr>
          <w:rFonts w:hint="eastAsia" w:ascii="宋体" w:hAnsi="宋体"/>
          <w:szCs w:val="21"/>
          <w:highlight w:val="none"/>
        </w:rPr>
        <w:t xml:space="preserve">      性别：</w:t>
      </w:r>
      <w:r>
        <w:rPr>
          <w:rFonts w:hint="eastAsia" w:ascii="宋体" w:hAnsi="宋体"/>
          <w:szCs w:val="21"/>
          <w:highlight w:val="none"/>
          <w:u w:val="single"/>
        </w:rPr>
        <w:t xml:space="preserve">    </w:t>
      </w:r>
    </w:p>
    <w:p w14:paraId="6A3511EC">
      <w:pPr>
        <w:adjustRightInd w:val="0"/>
        <w:snapToGrid w:val="0"/>
        <w:spacing w:line="520" w:lineRule="exact"/>
        <w:ind w:firstLine="420" w:firstLineChars="200"/>
        <w:rPr>
          <w:rFonts w:ascii="宋体" w:hAnsi="宋体"/>
          <w:szCs w:val="21"/>
          <w:highlight w:val="none"/>
          <w:u w:val="single"/>
        </w:rPr>
      </w:pPr>
      <w:r>
        <w:rPr>
          <w:rFonts w:hint="eastAsia" w:ascii="宋体" w:hAnsi="宋体"/>
          <w:szCs w:val="21"/>
          <w:highlight w:val="none"/>
        </w:rPr>
        <w:t>身份证号码：</w:t>
      </w:r>
      <w:r>
        <w:rPr>
          <w:rFonts w:hint="eastAsia" w:ascii="宋体" w:hAnsi="宋体"/>
          <w:szCs w:val="21"/>
          <w:highlight w:val="none"/>
          <w:u w:val="single"/>
        </w:rPr>
        <w:t xml:space="preserve">                              </w:t>
      </w:r>
    </w:p>
    <w:p w14:paraId="1FC55053">
      <w:pPr>
        <w:adjustRightInd w:val="0"/>
        <w:snapToGrid w:val="0"/>
        <w:spacing w:line="520" w:lineRule="exact"/>
        <w:ind w:firstLine="420" w:firstLineChars="200"/>
        <w:rPr>
          <w:rFonts w:ascii="宋体" w:hAnsi="宋体"/>
          <w:szCs w:val="21"/>
          <w:highlight w:val="none"/>
          <w:u w:val="single"/>
        </w:rPr>
      </w:pPr>
    </w:p>
    <w:tbl>
      <w:tblPr>
        <w:tblStyle w:val="20"/>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1"/>
      </w:tblGrid>
      <w:tr w14:paraId="7735E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trPr>
        <w:tc>
          <w:tcPr>
            <w:tcW w:w="8861" w:type="dxa"/>
          </w:tcPr>
          <w:p w14:paraId="0560A8BC">
            <w:pPr>
              <w:keepNext w:val="0"/>
              <w:keepLines w:val="0"/>
              <w:suppressLineNumbers w:val="0"/>
              <w:spacing w:before="0" w:beforeAutospacing="0" w:after="0" w:afterAutospacing="0" w:line="300" w:lineRule="auto"/>
              <w:ind w:left="0" w:right="0"/>
              <w:rPr>
                <w:rFonts w:hint="default" w:ascii="宋体" w:hAnsi="宋体"/>
                <w:szCs w:val="21"/>
                <w:highlight w:val="none"/>
              </w:rPr>
            </w:pPr>
            <w:r>
              <w:rPr>
                <w:rFonts w:hint="eastAsia" w:ascii="宋体" w:hAnsi="宋体"/>
                <w:szCs w:val="21"/>
                <w:highlight w:val="none"/>
              </w:rPr>
              <w:t>粘贴委托代理人的有效身份证正面及反面复印件</w:t>
            </w:r>
          </w:p>
        </w:tc>
      </w:tr>
    </w:tbl>
    <w:p w14:paraId="68C2B2ED">
      <w:pPr>
        <w:autoSpaceDE w:val="0"/>
        <w:autoSpaceDN w:val="0"/>
        <w:spacing w:line="300" w:lineRule="auto"/>
        <w:ind w:left="480" w:hanging="480"/>
        <w:rPr>
          <w:rFonts w:ascii="宋体" w:hAnsi="宋体"/>
          <w:szCs w:val="21"/>
          <w:highlight w:val="none"/>
        </w:rPr>
      </w:pPr>
    </w:p>
    <w:p w14:paraId="3AF97E74">
      <w:pPr>
        <w:autoSpaceDE w:val="0"/>
        <w:autoSpaceDN w:val="0"/>
        <w:spacing w:line="300" w:lineRule="auto"/>
        <w:ind w:left="480" w:hanging="480"/>
        <w:rPr>
          <w:rFonts w:ascii="宋体" w:hAnsi="宋体"/>
          <w:szCs w:val="21"/>
          <w:highlight w:val="none"/>
        </w:rPr>
      </w:pPr>
    </w:p>
    <w:p w14:paraId="264B85C9">
      <w:pPr>
        <w:pStyle w:val="10"/>
        <w:spacing w:line="300" w:lineRule="auto"/>
        <w:rPr>
          <w:rFonts w:hAnsi="宋体"/>
          <w:highlight w:val="none"/>
        </w:rPr>
      </w:pPr>
    </w:p>
    <w:p w14:paraId="4DEAB31A">
      <w:pPr>
        <w:pStyle w:val="10"/>
        <w:spacing w:line="300" w:lineRule="auto"/>
        <w:rPr>
          <w:rFonts w:hAnsi="宋体"/>
          <w:highlight w:val="none"/>
        </w:rPr>
      </w:pPr>
    </w:p>
    <w:p w14:paraId="51ED38BE">
      <w:pPr>
        <w:pStyle w:val="10"/>
        <w:spacing w:line="300" w:lineRule="auto"/>
        <w:rPr>
          <w:rFonts w:hAnsi="宋体"/>
          <w:highlight w:val="none"/>
        </w:rPr>
      </w:pPr>
    </w:p>
    <w:p w14:paraId="6EAB6686">
      <w:pPr>
        <w:pStyle w:val="10"/>
        <w:spacing w:line="300" w:lineRule="auto"/>
        <w:rPr>
          <w:rFonts w:hAnsi="宋体"/>
          <w:highlight w:val="none"/>
        </w:rPr>
      </w:pPr>
    </w:p>
    <w:p w14:paraId="3FB7E214">
      <w:pPr>
        <w:pStyle w:val="10"/>
        <w:spacing w:line="300" w:lineRule="auto"/>
        <w:rPr>
          <w:rFonts w:hAnsi="宋体"/>
          <w:highlight w:val="none"/>
        </w:rPr>
      </w:pPr>
    </w:p>
    <w:p w14:paraId="2EA193A8">
      <w:pPr>
        <w:pStyle w:val="10"/>
        <w:spacing w:line="300" w:lineRule="auto"/>
        <w:rPr>
          <w:rFonts w:hAnsi="宋体"/>
          <w:highlight w:val="none"/>
        </w:rPr>
      </w:pPr>
    </w:p>
    <w:p w14:paraId="79A76694">
      <w:pPr>
        <w:spacing w:line="500" w:lineRule="exact"/>
        <w:rPr>
          <w:kern w:val="0"/>
          <w:highlight w:val="none"/>
        </w:rPr>
      </w:pPr>
      <w:r>
        <w:rPr>
          <w:kern w:val="0"/>
          <w:highlight w:val="none"/>
        </w:rPr>
        <w:t xml:space="preserve"> </w:t>
      </w:r>
    </w:p>
    <w:p w14:paraId="19F93EB0">
      <w:pPr>
        <w:spacing w:line="500" w:lineRule="exact"/>
        <w:rPr>
          <w:rFonts w:ascii="宋体" w:hAnsi="宋体"/>
          <w:b/>
          <w:szCs w:val="21"/>
          <w:highlight w:val="none"/>
        </w:rPr>
      </w:pPr>
      <w:r>
        <w:rPr>
          <w:kern w:val="0"/>
          <w:highlight w:val="none"/>
        </w:rPr>
        <w:br w:type="page"/>
      </w:r>
      <w:r>
        <w:rPr>
          <w:rFonts w:hint="eastAsia" w:ascii="宋体" w:hAnsi="宋体"/>
          <w:b/>
          <w:szCs w:val="21"/>
          <w:highlight w:val="none"/>
        </w:rPr>
        <w:t>附件五</w:t>
      </w:r>
    </w:p>
    <w:p w14:paraId="20723FBB">
      <w:pPr>
        <w:spacing w:line="500" w:lineRule="exact"/>
        <w:rPr>
          <w:rFonts w:ascii="宋体" w:hAnsi="宋体"/>
          <w:b/>
          <w:szCs w:val="21"/>
          <w:highlight w:val="none"/>
        </w:rPr>
      </w:pPr>
    </w:p>
    <w:p w14:paraId="34678CB6">
      <w:pPr>
        <w:pStyle w:val="10"/>
        <w:spacing w:line="500" w:lineRule="exact"/>
        <w:jc w:val="center"/>
        <w:rPr>
          <w:rFonts w:hAnsi="宋体"/>
          <w:b/>
          <w:bCs/>
          <w:sz w:val="30"/>
          <w:szCs w:val="30"/>
          <w:highlight w:val="none"/>
        </w:rPr>
      </w:pPr>
      <w:r>
        <w:rPr>
          <w:rFonts w:hAnsi="宋体"/>
          <w:b/>
          <w:bCs/>
          <w:sz w:val="30"/>
          <w:szCs w:val="30"/>
          <w:highlight w:val="none"/>
        </w:rPr>
        <w:t>中小企业声明函（</w:t>
      </w:r>
      <w:r>
        <w:rPr>
          <w:rFonts w:hint="eastAsia" w:hAnsi="宋体"/>
          <w:b/>
          <w:bCs/>
          <w:sz w:val="30"/>
          <w:szCs w:val="30"/>
          <w:highlight w:val="none"/>
        </w:rPr>
        <w:t>服务</w:t>
      </w:r>
      <w:r>
        <w:rPr>
          <w:rFonts w:hAnsi="宋体"/>
          <w:b/>
          <w:bCs/>
          <w:sz w:val="30"/>
          <w:szCs w:val="30"/>
          <w:highlight w:val="none"/>
        </w:rPr>
        <w:t>）</w:t>
      </w:r>
    </w:p>
    <w:p w14:paraId="712A1B42">
      <w:pPr>
        <w:rPr>
          <w:highlight w:val="none"/>
        </w:rPr>
      </w:pPr>
    </w:p>
    <w:p w14:paraId="6AA55C87">
      <w:pPr>
        <w:pStyle w:val="10"/>
        <w:spacing w:line="500" w:lineRule="exact"/>
        <w:ind w:firstLine="525" w:firstLineChars="250"/>
        <w:jc w:val="left"/>
        <w:rPr>
          <w:highlight w:val="none"/>
        </w:rPr>
      </w:pPr>
      <w:r>
        <w:rPr>
          <w:rFonts w:hint="eastAsia"/>
          <w:highlight w:val="none"/>
        </w:rPr>
        <w:t>本公司（联合体）郑重声明，根据《政府采购促进中小企业发展管理办法》（财库﹝2020﹞46 号）的规定，本公司（联合体）参加</w:t>
      </w:r>
      <w:r>
        <w:rPr>
          <w:rFonts w:hint="eastAsia"/>
          <w:highlight w:val="none"/>
          <w:u w:val="single"/>
        </w:rPr>
        <w:t>（单位名称</w:t>
      </w:r>
      <w:r>
        <w:rPr>
          <w:rFonts w:hint="eastAsia"/>
          <w:highlight w:val="none"/>
          <w:u w:val="single"/>
          <w:lang w:eastAsia="zh-CN"/>
        </w:rPr>
        <w:t>：南宁市卫生健康委员会</w:t>
      </w:r>
      <w:r>
        <w:rPr>
          <w:rFonts w:hint="eastAsia"/>
          <w:highlight w:val="none"/>
          <w:u w:val="single"/>
        </w:rPr>
        <w:t>）</w:t>
      </w:r>
      <w:r>
        <w:rPr>
          <w:rFonts w:hint="eastAsia"/>
          <w:highlight w:val="none"/>
        </w:rPr>
        <w:t>的</w:t>
      </w:r>
      <w:r>
        <w:rPr>
          <w:rFonts w:hint="eastAsia"/>
          <w:highlight w:val="none"/>
          <w:u w:val="single"/>
        </w:rPr>
        <w:t>（项目名称</w:t>
      </w:r>
      <w:r>
        <w:rPr>
          <w:rFonts w:hint="eastAsia"/>
          <w:highlight w:val="none"/>
          <w:u w:val="single"/>
          <w:lang w:eastAsia="zh-CN"/>
        </w:rPr>
        <w:t>：</w:t>
      </w:r>
      <w:r>
        <w:rPr>
          <w:rFonts w:hint="eastAsia"/>
          <w:b w:val="0"/>
          <w:bCs w:val="0"/>
          <w:highlight w:val="none"/>
          <w:u w:val="single"/>
          <w:lang w:eastAsia="zh-CN"/>
        </w:rPr>
        <w:t>南宁市2025年公办普惠托育机构能力提升项目</w:t>
      </w:r>
      <w:r>
        <w:rPr>
          <w:rFonts w:hint="eastAsia"/>
          <w:highlight w:val="none"/>
          <w:u w:val="single"/>
        </w:rPr>
        <w:t>）</w:t>
      </w:r>
      <w:r>
        <w:rPr>
          <w:rFonts w:hint="eastAsia"/>
          <w:highlight w:val="none"/>
        </w:rPr>
        <w:t>采购活动，服务全部由符合政策要求的中小企业承接。相关企业（含联合体中的中小企业、签订分包意向协议的中小企业）的具体情况如下：</w:t>
      </w:r>
    </w:p>
    <w:p w14:paraId="3159FE27">
      <w:pPr>
        <w:pStyle w:val="10"/>
        <w:spacing w:line="500" w:lineRule="exact"/>
        <w:ind w:firstLine="420" w:firstLineChars="200"/>
        <w:jc w:val="left"/>
        <w:rPr>
          <w:highlight w:val="none"/>
        </w:rPr>
      </w:pPr>
      <w:r>
        <w:rPr>
          <w:rFonts w:hint="eastAsia"/>
          <w:highlight w:val="none"/>
        </w:rPr>
        <w:t>1.</w:t>
      </w:r>
      <w:r>
        <w:rPr>
          <w:rFonts w:hint="eastAsia"/>
          <w:color w:val="auto"/>
          <w:highlight w:val="none"/>
          <w:u w:val="single"/>
        </w:rPr>
        <w:t>（标的名称</w:t>
      </w:r>
      <w:r>
        <w:rPr>
          <w:rFonts w:hint="eastAsia"/>
          <w:color w:val="auto"/>
          <w:highlight w:val="none"/>
          <w:u w:val="single"/>
          <w:lang w:eastAsia="zh-CN"/>
        </w:rPr>
        <w:t>：南宁市2025年公办普惠托育机构能力提升</w:t>
      </w:r>
      <w:r>
        <w:rPr>
          <w:rFonts w:hint="eastAsia"/>
          <w:color w:val="auto"/>
          <w:highlight w:val="none"/>
          <w:u w:val="single"/>
        </w:rPr>
        <w:t>）</w:t>
      </w:r>
      <w:r>
        <w:rPr>
          <w:rFonts w:hint="eastAsia"/>
          <w:color w:val="auto"/>
          <w:highlight w:val="none"/>
        </w:rPr>
        <w:t>，属于</w:t>
      </w:r>
      <w:r>
        <w:rPr>
          <w:rFonts w:hint="eastAsia"/>
          <w:color w:val="auto"/>
          <w:highlight w:val="none"/>
          <w:u w:val="single"/>
        </w:rPr>
        <w:t>（采购文件中明确的所属行业</w:t>
      </w:r>
      <w:r>
        <w:rPr>
          <w:rFonts w:hint="eastAsia"/>
          <w:color w:val="auto"/>
          <w:highlight w:val="none"/>
          <w:u w:val="single"/>
          <w:lang w:val="en-US" w:eastAsia="zh-CN"/>
        </w:rPr>
        <w:t>：其他未列明行业</w:t>
      </w:r>
      <w:r>
        <w:rPr>
          <w:rFonts w:hint="eastAsia"/>
          <w:color w:val="auto"/>
          <w:highlight w:val="none"/>
          <w:u w:val="single"/>
        </w:rPr>
        <w:t>）</w:t>
      </w:r>
      <w:r>
        <w:rPr>
          <w:rFonts w:hint="eastAsia"/>
          <w:color w:val="auto"/>
          <w:highlight w:val="none"/>
        </w:rPr>
        <w:t>；承接企业为</w:t>
      </w:r>
      <w:r>
        <w:rPr>
          <w:rFonts w:hint="eastAsia"/>
          <w:color w:val="auto"/>
          <w:highlight w:val="none"/>
          <w:u w:val="single"/>
        </w:rPr>
        <w:t>（企业名称</w:t>
      </w:r>
      <w:r>
        <w:rPr>
          <w:rFonts w:hint="eastAsia"/>
          <w:color w:val="auto"/>
          <w:highlight w:val="none"/>
          <w:u w:val="single"/>
          <w:lang w:eastAsia="zh-CN"/>
        </w:rPr>
        <w:t>：</w:t>
      </w:r>
      <w:r>
        <w:rPr>
          <w:rFonts w:hint="eastAsia"/>
          <w:color w:val="auto"/>
          <w:highlight w:val="none"/>
          <w:u w:val="single"/>
          <w:lang w:val="en-US" w:eastAsia="zh-CN"/>
        </w:rPr>
        <w:t xml:space="preserve">    </w:t>
      </w:r>
      <w:r>
        <w:rPr>
          <w:rFonts w:hint="eastAsia"/>
          <w:color w:val="auto"/>
          <w:highlight w:val="none"/>
          <w:u w:val="single"/>
        </w:rPr>
        <w:t>）</w:t>
      </w:r>
      <w:r>
        <w:rPr>
          <w:rFonts w:hint="eastAsia"/>
          <w:color w:val="auto"/>
          <w:highlight w:val="none"/>
        </w:rPr>
        <w:t>，从业人员</w:t>
      </w:r>
      <w:r>
        <w:rPr>
          <w:rFonts w:hint="eastAsia"/>
          <w:color w:val="auto"/>
          <w:highlight w:val="none"/>
          <w:u w:val="single"/>
        </w:rPr>
        <w:t xml:space="preserve">     </w:t>
      </w:r>
      <w:r>
        <w:rPr>
          <w:rFonts w:hint="eastAsia"/>
          <w:color w:val="auto"/>
          <w:highlight w:val="none"/>
        </w:rPr>
        <w:t>人，营业收入为</w:t>
      </w:r>
      <w:r>
        <w:rPr>
          <w:rFonts w:hint="eastAsia"/>
          <w:color w:val="auto"/>
          <w:highlight w:val="none"/>
          <w:u w:val="single"/>
        </w:rPr>
        <w:t xml:space="preserve">     </w:t>
      </w:r>
      <w:r>
        <w:rPr>
          <w:rFonts w:hint="eastAsia"/>
          <w:color w:val="auto"/>
          <w:highlight w:val="none"/>
        </w:rPr>
        <w:t>万元，资产总额为</w:t>
      </w:r>
      <w:r>
        <w:rPr>
          <w:rFonts w:hint="eastAsia"/>
          <w:color w:val="auto"/>
          <w:highlight w:val="none"/>
          <w:u w:val="single"/>
        </w:rPr>
        <w:t xml:space="preserve">     </w:t>
      </w:r>
      <w:r>
        <w:rPr>
          <w:rFonts w:hint="eastAsia"/>
          <w:color w:val="auto"/>
          <w:highlight w:val="none"/>
        </w:rPr>
        <w:t>万元，属</w:t>
      </w:r>
      <w:r>
        <w:rPr>
          <w:rFonts w:hint="eastAsia"/>
          <w:highlight w:val="none"/>
        </w:rPr>
        <w:t>于</w:t>
      </w:r>
      <w:r>
        <w:rPr>
          <w:rFonts w:hint="eastAsia"/>
          <w:highlight w:val="none"/>
          <w:u w:val="single"/>
          <w:lang w:val="en-US" w:eastAsia="zh-CN"/>
        </w:rPr>
        <w:t xml:space="preserve">    </w:t>
      </w:r>
      <w:r>
        <w:rPr>
          <w:rFonts w:hint="eastAsia"/>
          <w:highlight w:val="none"/>
          <w:u w:val="single"/>
        </w:rPr>
        <w:t>（中型企业、小型企业、微型企业）</w:t>
      </w:r>
      <w:r>
        <w:rPr>
          <w:rFonts w:hint="eastAsia"/>
          <w:highlight w:val="none"/>
        </w:rPr>
        <w:t xml:space="preserve">； </w:t>
      </w:r>
    </w:p>
    <w:p w14:paraId="0E473971">
      <w:pPr>
        <w:pStyle w:val="10"/>
        <w:spacing w:line="500" w:lineRule="exact"/>
        <w:ind w:firstLine="420" w:firstLineChars="200"/>
        <w:jc w:val="left"/>
        <w:rPr>
          <w:highlight w:val="none"/>
        </w:rPr>
      </w:pPr>
      <w:r>
        <w:rPr>
          <w:rFonts w:hint="eastAsia"/>
          <w:highlight w:val="none"/>
        </w:rPr>
        <w:t>以上企业，不属于大企业的分支机构，不存在控股股东为大企业的情形，也不存在与大企业的负责人为同一人的情形。</w:t>
      </w:r>
    </w:p>
    <w:p w14:paraId="16CFA623">
      <w:pPr>
        <w:pStyle w:val="10"/>
        <w:spacing w:line="500" w:lineRule="exact"/>
        <w:ind w:firstLine="420" w:firstLineChars="200"/>
        <w:jc w:val="left"/>
        <w:rPr>
          <w:highlight w:val="none"/>
        </w:rPr>
      </w:pPr>
      <w:r>
        <w:rPr>
          <w:rFonts w:hint="eastAsia"/>
          <w:highlight w:val="none"/>
        </w:rPr>
        <w:t>本企业对上述声明内容的真实性负责。如有虚假，将依法承担相应责任。</w:t>
      </w:r>
    </w:p>
    <w:p w14:paraId="6AEADB84">
      <w:pPr>
        <w:pStyle w:val="10"/>
        <w:spacing w:line="500" w:lineRule="exact"/>
        <w:ind w:firstLine="420" w:firstLineChars="200"/>
        <w:jc w:val="left"/>
        <w:rPr>
          <w:highlight w:val="none"/>
        </w:rPr>
      </w:pPr>
    </w:p>
    <w:p w14:paraId="1F12DE19">
      <w:pPr>
        <w:pStyle w:val="10"/>
        <w:spacing w:line="500" w:lineRule="exact"/>
        <w:ind w:firstLine="4620" w:firstLineChars="2200"/>
        <w:jc w:val="left"/>
        <w:rPr>
          <w:highlight w:val="none"/>
        </w:rPr>
      </w:pPr>
      <w:r>
        <w:rPr>
          <w:rFonts w:hint="eastAsia"/>
          <w:highlight w:val="none"/>
        </w:rPr>
        <w:t>企业名称（盖章）：</w:t>
      </w:r>
    </w:p>
    <w:p w14:paraId="4A073747">
      <w:pPr>
        <w:pStyle w:val="10"/>
        <w:spacing w:line="500" w:lineRule="exact"/>
        <w:ind w:firstLine="4620" w:firstLineChars="2200"/>
        <w:jc w:val="left"/>
        <w:rPr>
          <w:highlight w:val="none"/>
        </w:rPr>
      </w:pPr>
      <w:r>
        <w:rPr>
          <w:rFonts w:hint="eastAsia"/>
          <w:highlight w:val="none"/>
        </w:rPr>
        <w:t>日 期：</w:t>
      </w:r>
    </w:p>
    <w:p w14:paraId="2F4462ED">
      <w:pPr>
        <w:snapToGrid w:val="0"/>
        <w:spacing w:line="380" w:lineRule="exact"/>
        <w:ind w:firstLine="411" w:firstLineChars="196"/>
        <w:jc w:val="left"/>
        <w:rPr>
          <w:rFonts w:ascii="宋体"/>
          <w:szCs w:val="21"/>
          <w:highlight w:val="none"/>
        </w:rPr>
      </w:pPr>
    </w:p>
    <w:p w14:paraId="4971A28E">
      <w:pPr>
        <w:snapToGrid w:val="0"/>
        <w:spacing w:line="380" w:lineRule="exact"/>
        <w:ind w:firstLine="352" w:firstLineChars="196"/>
        <w:jc w:val="left"/>
        <w:rPr>
          <w:sz w:val="18"/>
          <w:szCs w:val="18"/>
          <w:highlight w:val="none"/>
        </w:rPr>
      </w:pPr>
    </w:p>
    <w:p w14:paraId="0910EB9F">
      <w:pPr>
        <w:snapToGrid w:val="0"/>
        <w:spacing w:line="380" w:lineRule="exact"/>
        <w:ind w:firstLine="352" w:firstLineChars="196"/>
        <w:jc w:val="left"/>
        <w:rPr>
          <w:rFonts w:ascii="宋体" w:hAnsi="宋体"/>
          <w:sz w:val="18"/>
          <w:szCs w:val="18"/>
          <w:highlight w:val="none"/>
        </w:rPr>
      </w:pPr>
      <w:r>
        <w:rPr>
          <w:rFonts w:hint="eastAsia" w:ascii="宋体" w:hAnsi="宋体"/>
          <w:sz w:val="18"/>
          <w:szCs w:val="18"/>
          <w:highlight w:val="none"/>
        </w:rPr>
        <w:t>注：1、从业人员、营业收入、资产总额填报上一年度数据，无上一年度数据的新成立企业可不填报。</w:t>
      </w:r>
    </w:p>
    <w:p w14:paraId="297C95D9">
      <w:pPr>
        <w:snapToGrid w:val="0"/>
        <w:spacing w:line="380" w:lineRule="exact"/>
        <w:ind w:firstLine="712" w:firstLineChars="396"/>
        <w:jc w:val="left"/>
        <w:rPr>
          <w:rFonts w:ascii="宋体" w:hAnsi="宋体"/>
          <w:sz w:val="18"/>
          <w:szCs w:val="18"/>
          <w:highlight w:val="none"/>
        </w:rPr>
      </w:pPr>
      <w:r>
        <w:rPr>
          <w:rFonts w:hint="eastAsia" w:ascii="宋体" w:hAnsi="宋体"/>
          <w:sz w:val="18"/>
          <w:szCs w:val="18"/>
          <w:highlight w:val="none"/>
        </w:rPr>
        <w:t>2、请根据自己的真实情况出具《中小企业声明函》。</w:t>
      </w:r>
    </w:p>
    <w:p w14:paraId="39D291EA">
      <w:pPr>
        <w:snapToGrid w:val="0"/>
        <w:spacing w:line="380" w:lineRule="exact"/>
        <w:ind w:firstLine="712" w:firstLineChars="396"/>
        <w:jc w:val="left"/>
        <w:rPr>
          <w:rFonts w:hAnsi="宋体"/>
          <w:sz w:val="32"/>
          <w:szCs w:val="32"/>
          <w:highlight w:val="none"/>
        </w:rPr>
      </w:pPr>
      <w:r>
        <w:rPr>
          <w:rFonts w:hint="eastAsia" w:ascii="宋体" w:hAnsi="宋体"/>
          <w:sz w:val="18"/>
          <w:szCs w:val="18"/>
          <w:highlight w:val="none"/>
        </w:rPr>
        <w:t>3、在采购活动中，供应商提供的货物、工程或者服务符合下列情形的，享受《政府采购促进中小企业发展管理办法》规定的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在货物采购项目中，供应商提供的货物既有中小企业制造货物，也有大型企业制造货物的，不享受《政府采购促进中小企业发展管理办法》规定的中小企业扶持政策。以联合体形式参加政府采购活动，联合体各方均为中小企业的，联合体视同中小企业。其中，联合体各方均为小微企业的，联合体视同小微企业。</w:t>
      </w:r>
      <w:r>
        <w:rPr>
          <w:kern w:val="0"/>
          <w:highlight w:val="none"/>
        </w:rPr>
        <w:br w:type="page"/>
      </w:r>
    </w:p>
    <w:p w14:paraId="1E6A2298">
      <w:pPr>
        <w:spacing w:line="528" w:lineRule="exact"/>
        <w:ind w:left="1871" w:leftChars="891" w:firstLine="1200" w:firstLineChars="300"/>
        <w:rPr>
          <w:rFonts w:ascii="宋体" w:hAnsi="宋体" w:cs="Arial Unicode MS"/>
          <w:sz w:val="40"/>
          <w:szCs w:val="40"/>
        </w:rPr>
      </w:pPr>
      <w:r>
        <w:rPr>
          <w:rFonts w:hint="eastAsia" w:ascii="宋体" w:hAnsi="宋体" w:cs="微软雅黑"/>
          <w:sz w:val="40"/>
          <w:szCs w:val="40"/>
        </w:rPr>
        <w:t>中小微企业划型标准</w:t>
      </w:r>
    </w:p>
    <w:tbl>
      <w:tblPr>
        <w:tblStyle w:val="20"/>
        <w:tblW w:w="8591" w:type="dxa"/>
        <w:tblInd w:w="250" w:type="dxa"/>
        <w:tblLayout w:type="fixed"/>
        <w:tblCellMar>
          <w:top w:w="0" w:type="dxa"/>
          <w:left w:w="108" w:type="dxa"/>
          <w:bottom w:w="0" w:type="dxa"/>
          <w:right w:w="108" w:type="dxa"/>
        </w:tblCellMar>
      </w:tblPr>
      <w:tblGrid>
        <w:gridCol w:w="1831"/>
        <w:gridCol w:w="1489"/>
        <w:gridCol w:w="983"/>
        <w:gridCol w:w="1743"/>
        <w:gridCol w:w="1549"/>
        <w:gridCol w:w="996"/>
      </w:tblGrid>
      <w:tr w14:paraId="15F800B1">
        <w:tblPrEx>
          <w:tblCellMar>
            <w:top w:w="0" w:type="dxa"/>
            <w:left w:w="108" w:type="dxa"/>
            <w:bottom w:w="0" w:type="dxa"/>
            <w:right w:w="108" w:type="dxa"/>
          </w:tblCellMar>
        </w:tblPrEx>
        <w:trPr>
          <w:trHeight w:val="287" w:hRule="atLeast"/>
        </w:trPr>
        <w:tc>
          <w:tcPr>
            <w:tcW w:w="1831" w:type="dxa"/>
            <w:tcBorders>
              <w:top w:val="single" w:color="auto" w:sz="4" w:space="0"/>
              <w:left w:val="single" w:color="auto" w:sz="4" w:space="0"/>
              <w:bottom w:val="single" w:color="auto" w:sz="4" w:space="0"/>
              <w:right w:val="single" w:color="auto" w:sz="4" w:space="0"/>
            </w:tcBorders>
            <w:noWrap w:val="0"/>
            <w:vAlign w:val="center"/>
          </w:tcPr>
          <w:p w14:paraId="2D9588F3">
            <w:pPr>
              <w:keepNext w:val="0"/>
              <w:keepLines w:val="0"/>
              <w:widowControl/>
              <w:suppressLineNumbers w:val="0"/>
              <w:spacing w:before="0" w:beforeAutospacing="0" w:after="0" w:afterAutospacing="0"/>
              <w:ind w:left="0" w:right="0"/>
              <w:jc w:val="left"/>
              <w:rPr>
                <w:rFonts w:hint="default" w:ascii="宋体" w:hAnsi="宋体" w:cs="宋体"/>
                <w:b/>
                <w:kern w:val="0"/>
                <w:sz w:val="24"/>
              </w:rPr>
            </w:pPr>
            <w:r>
              <w:rPr>
                <w:rFonts w:hint="eastAsia" w:ascii="宋体" w:hAnsi="宋体" w:cs="宋体"/>
                <w:b/>
                <w:kern w:val="0"/>
                <w:sz w:val="24"/>
              </w:rPr>
              <w:t>行业名称</w:t>
            </w:r>
          </w:p>
        </w:tc>
        <w:tc>
          <w:tcPr>
            <w:tcW w:w="1489" w:type="dxa"/>
            <w:tcBorders>
              <w:top w:val="single" w:color="auto" w:sz="4" w:space="0"/>
              <w:left w:val="nil"/>
              <w:bottom w:val="single" w:color="auto" w:sz="4" w:space="0"/>
              <w:right w:val="single" w:color="auto" w:sz="4" w:space="0"/>
            </w:tcBorders>
            <w:noWrap w:val="0"/>
            <w:vAlign w:val="center"/>
          </w:tcPr>
          <w:p w14:paraId="0A686A28">
            <w:pPr>
              <w:keepNext w:val="0"/>
              <w:keepLines w:val="0"/>
              <w:widowControl/>
              <w:suppressLineNumbers w:val="0"/>
              <w:spacing w:before="0" w:beforeAutospacing="0" w:after="0" w:afterAutospacing="0"/>
              <w:ind w:left="0" w:right="0"/>
              <w:jc w:val="left"/>
              <w:rPr>
                <w:rFonts w:hint="eastAsia" w:ascii="宋体" w:hAnsi="宋体" w:cs="宋体"/>
                <w:b/>
                <w:kern w:val="0"/>
                <w:sz w:val="24"/>
              </w:rPr>
            </w:pPr>
            <w:r>
              <w:rPr>
                <w:rFonts w:hint="eastAsia" w:ascii="宋体" w:hAnsi="宋体" w:cs="宋体"/>
                <w:b/>
                <w:kern w:val="0"/>
                <w:sz w:val="24"/>
              </w:rPr>
              <w:t>指标名称</w:t>
            </w:r>
          </w:p>
        </w:tc>
        <w:tc>
          <w:tcPr>
            <w:tcW w:w="983" w:type="dxa"/>
            <w:tcBorders>
              <w:top w:val="single" w:color="auto" w:sz="4" w:space="0"/>
              <w:left w:val="nil"/>
              <w:bottom w:val="single" w:color="auto" w:sz="4" w:space="0"/>
              <w:right w:val="single" w:color="auto" w:sz="4" w:space="0"/>
            </w:tcBorders>
            <w:noWrap w:val="0"/>
            <w:vAlign w:val="center"/>
          </w:tcPr>
          <w:p w14:paraId="12ACED2A">
            <w:pPr>
              <w:keepNext w:val="0"/>
              <w:keepLines w:val="0"/>
              <w:widowControl/>
              <w:suppressLineNumbers w:val="0"/>
              <w:spacing w:before="0" w:beforeAutospacing="0" w:after="0" w:afterAutospacing="0"/>
              <w:ind w:left="0" w:right="0"/>
              <w:jc w:val="left"/>
              <w:rPr>
                <w:rFonts w:hint="eastAsia" w:ascii="宋体" w:hAnsi="宋体" w:cs="宋体"/>
                <w:b/>
                <w:kern w:val="0"/>
                <w:sz w:val="24"/>
              </w:rPr>
            </w:pPr>
            <w:r>
              <w:rPr>
                <w:rFonts w:hint="eastAsia" w:ascii="宋体" w:hAnsi="宋体" w:cs="宋体"/>
                <w:b/>
                <w:kern w:val="0"/>
                <w:sz w:val="24"/>
              </w:rPr>
              <w:t>计量单位</w:t>
            </w:r>
          </w:p>
        </w:tc>
        <w:tc>
          <w:tcPr>
            <w:tcW w:w="1743" w:type="dxa"/>
            <w:tcBorders>
              <w:top w:val="single" w:color="auto" w:sz="4" w:space="0"/>
              <w:left w:val="nil"/>
              <w:bottom w:val="single" w:color="auto" w:sz="4" w:space="0"/>
              <w:right w:val="single" w:color="auto" w:sz="4" w:space="0"/>
            </w:tcBorders>
            <w:noWrap w:val="0"/>
            <w:vAlign w:val="center"/>
          </w:tcPr>
          <w:p w14:paraId="4724BD9A">
            <w:pPr>
              <w:keepNext w:val="0"/>
              <w:keepLines w:val="0"/>
              <w:widowControl/>
              <w:suppressLineNumbers w:val="0"/>
              <w:spacing w:before="0" w:beforeAutospacing="0" w:after="0" w:afterAutospacing="0"/>
              <w:ind w:left="0" w:right="0"/>
              <w:jc w:val="left"/>
              <w:rPr>
                <w:rFonts w:hint="eastAsia" w:ascii="宋体" w:hAnsi="宋体" w:cs="宋体"/>
                <w:b/>
                <w:kern w:val="0"/>
                <w:sz w:val="24"/>
              </w:rPr>
            </w:pPr>
            <w:r>
              <w:rPr>
                <w:rFonts w:hint="eastAsia" w:ascii="宋体" w:hAnsi="宋体" w:cs="宋体"/>
                <w:b/>
                <w:kern w:val="0"/>
                <w:sz w:val="24"/>
              </w:rPr>
              <w:t>中型</w:t>
            </w:r>
          </w:p>
        </w:tc>
        <w:tc>
          <w:tcPr>
            <w:tcW w:w="1549" w:type="dxa"/>
            <w:tcBorders>
              <w:top w:val="single" w:color="auto" w:sz="4" w:space="0"/>
              <w:left w:val="nil"/>
              <w:bottom w:val="single" w:color="auto" w:sz="4" w:space="0"/>
              <w:right w:val="single" w:color="auto" w:sz="4" w:space="0"/>
            </w:tcBorders>
            <w:noWrap w:val="0"/>
            <w:vAlign w:val="center"/>
          </w:tcPr>
          <w:p w14:paraId="3B4AE724">
            <w:pPr>
              <w:keepNext w:val="0"/>
              <w:keepLines w:val="0"/>
              <w:widowControl/>
              <w:suppressLineNumbers w:val="0"/>
              <w:spacing w:before="0" w:beforeAutospacing="0" w:after="0" w:afterAutospacing="0"/>
              <w:ind w:left="0" w:right="0"/>
              <w:jc w:val="left"/>
              <w:rPr>
                <w:rFonts w:hint="eastAsia" w:ascii="宋体" w:hAnsi="宋体" w:cs="宋体"/>
                <w:b/>
                <w:kern w:val="0"/>
                <w:sz w:val="24"/>
              </w:rPr>
            </w:pPr>
            <w:r>
              <w:rPr>
                <w:rFonts w:hint="eastAsia" w:ascii="宋体" w:hAnsi="宋体" w:cs="宋体"/>
                <w:b/>
                <w:kern w:val="0"/>
                <w:sz w:val="24"/>
              </w:rPr>
              <w:t>小型</w:t>
            </w:r>
          </w:p>
        </w:tc>
        <w:tc>
          <w:tcPr>
            <w:tcW w:w="996" w:type="dxa"/>
            <w:tcBorders>
              <w:top w:val="single" w:color="auto" w:sz="4" w:space="0"/>
              <w:left w:val="nil"/>
              <w:bottom w:val="single" w:color="auto" w:sz="4" w:space="0"/>
              <w:right w:val="single" w:color="auto" w:sz="4" w:space="0"/>
            </w:tcBorders>
            <w:noWrap w:val="0"/>
            <w:vAlign w:val="center"/>
          </w:tcPr>
          <w:p w14:paraId="78140F01">
            <w:pPr>
              <w:keepNext w:val="0"/>
              <w:keepLines w:val="0"/>
              <w:widowControl/>
              <w:suppressLineNumbers w:val="0"/>
              <w:spacing w:before="0" w:beforeAutospacing="0" w:after="0" w:afterAutospacing="0"/>
              <w:ind w:left="0" w:right="0"/>
              <w:jc w:val="left"/>
              <w:rPr>
                <w:rFonts w:hint="eastAsia" w:ascii="宋体" w:hAnsi="宋体" w:cs="宋体"/>
                <w:b/>
                <w:kern w:val="0"/>
                <w:sz w:val="24"/>
              </w:rPr>
            </w:pPr>
            <w:r>
              <w:rPr>
                <w:rFonts w:hint="eastAsia" w:ascii="宋体" w:hAnsi="宋体" w:cs="宋体"/>
                <w:b/>
                <w:kern w:val="0"/>
                <w:sz w:val="24"/>
              </w:rPr>
              <w:t>微型</w:t>
            </w:r>
          </w:p>
        </w:tc>
      </w:tr>
      <w:tr w14:paraId="1E0D7E8D">
        <w:tblPrEx>
          <w:tblCellMar>
            <w:top w:w="0" w:type="dxa"/>
            <w:left w:w="108" w:type="dxa"/>
            <w:bottom w:w="0" w:type="dxa"/>
            <w:right w:w="108" w:type="dxa"/>
          </w:tblCellMar>
        </w:tblPrEx>
        <w:trPr>
          <w:trHeight w:val="226" w:hRule="atLeast"/>
        </w:trPr>
        <w:tc>
          <w:tcPr>
            <w:tcW w:w="1831" w:type="dxa"/>
            <w:tcBorders>
              <w:top w:val="nil"/>
              <w:left w:val="single" w:color="auto" w:sz="4" w:space="0"/>
              <w:bottom w:val="single" w:color="auto" w:sz="4" w:space="0"/>
              <w:right w:val="single" w:color="auto" w:sz="4" w:space="0"/>
            </w:tcBorders>
            <w:noWrap w:val="0"/>
            <w:vAlign w:val="bottom"/>
          </w:tcPr>
          <w:p w14:paraId="47AAF320">
            <w:pPr>
              <w:keepNext w:val="0"/>
              <w:keepLines w:val="0"/>
              <w:widowControl/>
              <w:suppressLineNumbers w:val="0"/>
              <w:spacing w:before="0" w:beforeAutospacing="0" w:after="0" w:afterAutospacing="0"/>
              <w:ind w:left="0" w:right="0"/>
              <w:jc w:val="center"/>
              <w:rPr>
                <w:rFonts w:hint="eastAsia" w:ascii="宋体" w:hAnsi="宋体" w:cs="宋体"/>
                <w:b/>
                <w:bCs/>
                <w:kern w:val="0"/>
                <w:sz w:val="18"/>
                <w:szCs w:val="18"/>
              </w:rPr>
            </w:pPr>
            <w:r>
              <w:rPr>
                <w:rFonts w:hint="eastAsia" w:ascii="宋体" w:hAnsi="宋体" w:cs="宋体"/>
                <w:b/>
                <w:bCs/>
                <w:kern w:val="0"/>
                <w:sz w:val="18"/>
                <w:szCs w:val="18"/>
              </w:rPr>
              <w:t>农、林、牧、渔</w:t>
            </w:r>
          </w:p>
        </w:tc>
        <w:tc>
          <w:tcPr>
            <w:tcW w:w="1489" w:type="dxa"/>
            <w:tcBorders>
              <w:top w:val="nil"/>
              <w:left w:val="nil"/>
              <w:bottom w:val="single" w:color="auto" w:sz="4" w:space="0"/>
              <w:right w:val="single" w:color="auto" w:sz="4" w:space="0"/>
            </w:tcBorders>
            <w:noWrap w:val="0"/>
            <w:vAlign w:val="center"/>
          </w:tcPr>
          <w:p w14:paraId="5289CB5D">
            <w:pPr>
              <w:keepNext w:val="0"/>
              <w:keepLines w:val="0"/>
              <w:widowControl/>
              <w:suppressLineNumbers w:val="0"/>
              <w:spacing w:before="0" w:beforeAutospacing="0" w:after="0" w:afterAutospacing="0"/>
              <w:ind w:left="0" w:right="0"/>
              <w:jc w:val="left"/>
              <w:rPr>
                <w:rFonts w:hint="eastAsia" w:ascii="宋体" w:hAnsi="宋体" w:cs="宋体"/>
                <w:kern w:val="0"/>
                <w:sz w:val="18"/>
                <w:szCs w:val="18"/>
              </w:rPr>
            </w:pPr>
            <w:r>
              <w:rPr>
                <w:rFonts w:hint="eastAsia" w:ascii="宋体" w:hAnsi="宋体" w:cs="宋体"/>
                <w:kern w:val="0"/>
                <w:sz w:val="18"/>
                <w:szCs w:val="18"/>
              </w:rPr>
              <w:t>营业收入（Y）</w:t>
            </w:r>
          </w:p>
        </w:tc>
        <w:tc>
          <w:tcPr>
            <w:tcW w:w="983" w:type="dxa"/>
            <w:tcBorders>
              <w:top w:val="nil"/>
              <w:left w:val="nil"/>
              <w:bottom w:val="single" w:color="auto" w:sz="4" w:space="0"/>
              <w:right w:val="single" w:color="auto" w:sz="4" w:space="0"/>
            </w:tcBorders>
            <w:noWrap w:val="0"/>
            <w:vAlign w:val="center"/>
          </w:tcPr>
          <w:p w14:paraId="518AD0AC">
            <w:pPr>
              <w:keepNext w:val="0"/>
              <w:keepLines w:val="0"/>
              <w:widowControl/>
              <w:suppressLineNumbers w:val="0"/>
              <w:spacing w:before="0" w:beforeAutospacing="0" w:after="0" w:afterAutospacing="0"/>
              <w:ind w:left="0" w:right="0"/>
              <w:jc w:val="left"/>
              <w:rPr>
                <w:rFonts w:hint="eastAsia" w:ascii="宋体" w:hAnsi="宋体" w:cs="宋体"/>
                <w:kern w:val="0"/>
                <w:sz w:val="18"/>
                <w:szCs w:val="18"/>
              </w:rPr>
            </w:pPr>
            <w:r>
              <w:rPr>
                <w:rFonts w:hint="eastAsia" w:ascii="宋体" w:hAnsi="宋体" w:cs="宋体"/>
                <w:kern w:val="0"/>
                <w:sz w:val="18"/>
                <w:szCs w:val="18"/>
              </w:rPr>
              <w:t>万元</w:t>
            </w:r>
          </w:p>
        </w:tc>
        <w:tc>
          <w:tcPr>
            <w:tcW w:w="1743" w:type="dxa"/>
            <w:tcBorders>
              <w:top w:val="nil"/>
              <w:left w:val="nil"/>
              <w:bottom w:val="single" w:color="auto" w:sz="4" w:space="0"/>
              <w:right w:val="single" w:color="auto" w:sz="4" w:space="0"/>
            </w:tcBorders>
            <w:noWrap w:val="0"/>
            <w:vAlign w:val="center"/>
          </w:tcPr>
          <w:p w14:paraId="39F25FB4">
            <w:pPr>
              <w:keepNext w:val="0"/>
              <w:keepLines w:val="0"/>
              <w:widowControl/>
              <w:suppressLineNumbers w:val="0"/>
              <w:spacing w:before="0" w:beforeAutospacing="0" w:after="0" w:afterAutospacing="0"/>
              <w:ind w:left="0" w:right="0"/>
              <w:jc w:val="left"/>
              <w:rPr>
                <w:rFonts w:hint="eastAsia" w:ascii="宋体" w:hAnsi="宋体" w:cs="宋体"/>
                <w:kern w:val="0"/>
                <w:sz w:val="18"/>
                <w:szCs w:val="18"/>
              </w:rPr>
            </w:pPr>
            <w:r>
              <w:rPr>
                <w:rFonts w:hint="eastAsia" w:ascii="宋体" w:hAnsi="宋体" w:cs="宋体"/>
                <w:kern w:val="0"/>
                <w:sz w:val="18"/>
                <w:szCs w:val="18"/>
              </w:rPr>
              <w:t>500≤Y＜20000</w:t>
            </w:r>
          </w:p>
        </w:tc>
        <w:tc>
          <w:tcPr>
            <w:tcW w:w="1549" w:type="dxa"/>
            <w:tcBorders>
              <w:top w:val="nil"/>
              <w:left w:val="nil"/>
              <w:bottom w:val="single" w:color="auto" w:sz="4" w:space="0"/>
              <w:right w:val="single" w:color="auto" w:sz="4" w:space="0"/>
            </w:tcBorders>
            <w:noWrap w:val="0"/>
            <w:vAlign w:val="center"/>
          </w:tcPr>
          <w:p w14:paraId="7B9867FD">
            <w:pPr>
              <w:keepNext w:val="0"/>
              <w:keepLines w:val="0"/>
              <w:widowControl/>
              <w:suppressLineNumbers w:val="0"/>
              <w:spacing w:before="0" w:beforeAutospacing="0" w:after="0" w:afterAutospacing="0"/>
              <w:ind w:left="0" w:right="0"/>
              <w:jc w:val="left"/>
              <w:rPr>
                <w:rFonts w:hint="eastAsia" w:ascii="宋体" w:hAnsi="宋体" w:cs="宋体"/>
                <w:kern w:val="0"/>
                <w:sz w:val="18"/>
                <w:szCs w:val="18"/>
              </w:rPr>
            </w:pPr>
            <w:r>
              <w:rPr>
                <w:rFonts w:hint="eastAsia" w:ascii="宋体" w:hAnsi="宋体" w:cs="宋体"/>
                <w:kern w:val="0"/>
                <w:sz w:val="18"/>
                <w:szCs w:val="18"/>
              </w:rPr>
              <w:t>50≤Y＜500</w:t>
            </w:r>
          </w:p>
        </w:tc>
        <w:tc>
          <w:tcPr>
            <w:tcW w:w="996" w:type="dxa"/>
            <w:tcBorders>
              <w:top w:val="nil"/>
              <w:left w:val="nil"/>
              <w:bottom w:val="single" w:color="auto" w:sz="4" w:space="0"/>
              <w:right w:val="single" w:color="auto" w:sz="4" w:space="0"/>
            </w:tcBorders>
            <w:noWrap w:val="0"/>
            <w:vAlign w:val="center"/>
          </w:tcPr>
          <w:p w14:paraId="71149C31">
            <w:pPr>
              <w:keepNext w:val="0"/>
              <w:keepLines w:val="0"/>
              <w:widowControl/>
              <w:suppressLineNumbers w:val="0"/>
              <w:spacing w:before="0" w:beforeAutospacing="0" w:after="0" w:afterAutospacing="0"/>
              <w:ind w:left="0" w:right="0"/>
              <w:jc w:val="left"/>
              <w:rPr>
                <w:rFonts w:hint="eastAsia" w:ascii="宋体" w:hAnsi="宋体" w:cs="宋体"/>
                <w:kern w:val="0"/>
                <w:sz w:val="18"/>
                <w:szCs w:val="18"/>
              </w:rPr>
            </w:pPr>
            <w:r>
              <w:rPr>
                <w:rFonts w:hint="eastAsia" w:ascii="宋体" w:hAnsi="宋体" w:cs="宋体"/>
                <w:kern w:val="0"/>
                <w:sz w:val="18"/>
                <w:szCs w:val="18"/>
              </w:rPr>
              <w:t>Y＜50</w:t>
            </w:r>
          </w:p>
        </w:tc>
      </w:tr>
      <w:tr w14:paraId="0C9E5324">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noWrap w:val="0"/>
            <w:vAlign w:val="bottom"/>
          </w:tcPr>
          <w:p w14:paraId="46C739B3">
            <w:pPr>
              <w:keepNext w:val="0"/>
              <w:keepLines w:val="0"/>
              <w:widowControl/>
              <w:suppressLineNumbers w:val="0"/>
              <w:spacing w:before="0" w:beforeAutospacing="0" w:after="0" w:afterAutospacing="0"/>
              <w:ind w:left="0" w:right="0"/>
              <w:jc w:val="center"/>
              <w:rPr>
                <w:rFonts w:hint="eastAsia" w:ascii="宋体" w:hAnsi="宋体" w:cs="宋体"/>
                <w:b/>
                <w:bCs/>
                <w:kern w:val="0"/>
                <w:sz w:val="18"/>
                <w:szCs w:val="18"/>
              </w:rPr>
            </w:pPr>
            <w:r>
              <w:rPr>
                <w:rFonts w:hint="eastAsia" w:ascii="宋体" w:hAnsi="宋体" w:cs="宋体"/>
                <w:b/>
                <w:bCs/>
                <w:kern w:val="0"/>
                <w:sz w:val="18"/>
                <w:szCs w:val="18"/>
              </w:rPr>
              <w:t>工业</w:t>
            </w:r>
          </w:p>
        </w:tc>
        <w:tc>
          <w:tcPr>
            <w:tcW w:w="1489" w:type="dxa"/>
            <w:tcBorders>
              <w:top w:val="nil"/>
              <w:left w:val="nil"/>
              <w:bottom w:val="single" w:color="auto" w:sz="4" w:space="0"/>
              <w:right w:val="single" w:color="auto" w:sz="4" w:space="0"/>
            </w:tcBorders>
            <w:noWrap w:val="0"/>
            <w:vAlign w:val="center"/>
          </w:tcPr>
          <w:p w14:paraId="1910E903">
            <w:pPr>
              <w:keepNext w:val="0"/>
              <w:keepLines w:val="0"/>
              <w:widowControl/>
              <w:suppressLineNumbers w:val="0"/>
              <w:spacing w:before="0" w:beforeAutospacing="0" w:after="0" w:afterAutospacing="0"/>
              <w:ind w:left="0" w:right="0"/>
              <w:jc w:val="left"/>
              <w:rPr>
                <w:rFonts w:hint="eastAsia" w:ascii="宋体" w:hAnsi="宋体" w:cs="宋体"/>
                <w:kern w:val="0"/>
                <w:sz w:val="18"/>
                <w:szCs w:val="18"/>
              </w:rPr>
            </w:pPr>
            <w:r>
              <w:rPr>
                <w:rFonts w:hint="eastAsia" w:ascii="宋体" w:hAnsi="宋体" w:cs="宋体"/>
                <w:kern w:val="0"/>
                <w:sz w:val="18"/>
                <w:szCs w:val="18"/>
              </w:rPr>
              <w:t>从业人员（X）</w:t>
            </w:r>
          </w:p>
        </w:tc>
        <w:tc>
          <w:tcPr>
            <w:tcW w:w="983" w:type="dxa"/>
            <w:tcBorders>
              <w:top w:val="nil"/>
              <w:left w:val="nil"/>
              <w:bottom w:val="single" w:color="auto" w:sz="4" w:space="0"/>
              <w:right w:val="single" w:color="auto" w:sz="4" w:space="0"/>
            </w:tcBorders>
            <w:noWrap w:val="0"/>
            <w:vAlign w:val="center"/>
          </w:tcPr>
          <w:p w14:paraId="044C75AD">
            <w:pPr>
              <w:keepNext w:val="0"/>
              <w:keepLines w:val="0"/>
              <w:widowControl/>
              <w:suppressLineNumbers w:val="0"/>
              <w:spacing w:before="0" w:beforeAutospacing="0" w:after="0" w:afterAutospacing="0"/>
              <w:ind w:left="0" w:right="0"/>
              <w:jc w:val="left"/>
              <w:rPr>
                <w:rFonts w:hint="eastAsia" w:ascii="宋体" w:hAnsi="宋体" w:cs="宋体"/>
                <w:kern w:val="0"/>
                <w:sz w:val="18"/>
                <w:szCs w:val="18"/>
              </w:rPr>
            </w:pPr>
            <w:r>
              <w:rPr>
                <w:rFonts w:hint="eastAsia" w:ascii="宋体" w:hAnsi="宋体" w:cs="宋体"/>
                <w:kern w:val="0"/>
                <w:sz w:val="18"/>
                <w:szCs w:val="18"/>
              </w:rPr>
              <w:t>人</w:t>
            </w:r>
          </w:p>
        </w:tc>
        <w:tc>
          <w:tcPr>
            <w:tcW w:w="1743" w:type="dxa"/>
            <w:tcBorders>
              <w:top w:val="nil"/>
              <w:left w:val="nil"/>
              <w:bottom w:val="single" w:color="auto" w:sz="4" w:space="0"/>
              <w:right w:val="single" w:color="auto" w:sz="4" w:space="0"/>
            </w:tcBorders>
            <w:noWrap w:val="0"/>
            <w:vAlign w:val="center"/>
          </w:tcPr>
          <w:p w14:paraId="56F7429E">
            <w:pPr>
              <w:keepNext w:val="0"/>
              <w:keepLines w:val="0"/>
              <w:widowControl/>
              <w:suppressLineNumbers w:val="0"/>
              <w:spacing w:before="0" w:beforeAutospacing="0" w:after="0" w:afterAutospacing="0"/>
              <w:ind w:left="0" w:right="0"/>
              <w:jc w:val="left"/>
              <w:rPr>
                <w:rFonts w:hint="eastAsia" w:ascii="宋体" w:hAnsi="宋体" w:cs="宋体"/>
                <w:kern w:val="0"/>
                <w:sz w:val="18"/>
                <w:szCs w:val="18"/>
              </w:rPr>
            </w:pPr>
            <w:r>
              <w:rPr>
                <w:rFonts w:hint="eastAsia" w:ascii="宋体" w:hAnsi="宋体" w:cs="宋体"/>
                <w:kern w:val="0"/>
                <w:sz w:val="18"/>
                <w:szCs w:val="18"/>
              </w:rPr>
              <w:t>300≤X＜1000</w:t>
            </w:r>
          </w:p>
        </w:tc>
        <w:tc>
          <w:tcPr>
            <w:tcW w:w="1549" w:type="dxa"/>
            <w:tcBorders>
              <w:top w:val="nil"/>
              <w:left w:val="nil"/>
              <w:bottom w:val="single" w:color="auto" w:sz="4" w:space="0"/>
              <w:right w:val="single" w:color="auto" w:sz="4" w:space="0"/>
            </w:tcBorders>
            <w:noWrap w:val="0"/>
            <w:vAlign w:val="center"/>
          </w:tcPr>
          <w:p w14:paraId="078DB731">
            <w:pPr>
              <w:keepNext w:val="0"/>
              <w:keepLines w:val="0"/>
              <w:widowControl/>
              <w:suppressLineNumbers w:val="0"/>
              <w:spacing w:before="0" w:beforeAutospacing="0" w:after="0" w:afterAutospacing="0"/>
              <w:ind w:left="0" w:right="0"/>
              <w:jc w:val="left"/>
              <w:rPr>
                <w:rFonts w:hint="eastAsia" w:ascii="宋体" w:hAnsi="宋体" w:cs="宋体"/>
                <w:kern w:val="0"/>
                <w:sz w:val="18"/>
                <w:szCs w:val="18"/>
              </w:rPr>
            </w:pPr>
            <w:r>
              <w:rPr>
                <w:rFonts w:hint="eastAsia" w:ascii="宋体" w:hAnsi="宋体" w:cs="宋体"/>
                <w:kern w:val="0"/>
                <w:sz w:val="18"/>
                <w:szCs w:val="18"/>
              </w:rPr>
              <w:t>20≤X＜300</w:t>
            </w:r>
          </w:p>
        </w:tc>
        <w:tc>
          <w:tcPr>
            <w:tcW w:w="996" w:type="dxa"/>
            <w:tcBorders>
              <w:top w:val="nil"/>
              <w:left w:val="nil"/>
              <w:bottom w:val="single" w:color="auto" w:sz="4" w:space="0"/>
              <w:right w:val="single" w:color="auto" w:sz="4" w:space="0"/>
            </w:tcBorders>
            <w:noWrap w:val="0"/>
            <w:vAlign w:val="center"/>
          </w:tcPr>
          <w:p w14:paraId="021C279C">
            <w:pPr>
              <w:keepNext w:val="0"/>
              <w:keepLines w:val="0"/>
              <w:widowControl/>
              <w:suppressLineNumbers w:val="0"/>
              <w:spacing w:before="0" w:beforeAutospacing="0" w:after="0" w:afterAutospacing="0"/>
              <w:ind w:left="0" w:right="0"/>
              <w:jc w:val="left"/>
              <w:rPr>
                <w:rFonts w:hint="eastAsia" w:ascii="宋体" w:hAnsi="宋体" w:cs="宋体"/>
                <w:kern w:val="0"/>
                <w:sz w:val="18"/>
                <w:szCs w:val="18"/>
              </w:rPr>
            </w:pPr>
            <w:r>
              <w:rPr>
                <w:rFonts w:hint="eastAsia" w:ascii="宋体" w:hAnsi="宋体" w:cs="宋体"/>
                <w:kern w:val="0"/>
                <w:sz w:val="18"/>
                <w:szCs w:val="18"/>
              </w:rPr>
              <w:t>X＜20</w:t>
            </w:r>
          </w:p>
        </w:tc>
      </w:tr>
      <w:tr w14:paraId="7A59479D">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noWrap w:val="0"/>
            <w:vAlign w:val="center"/>
          </w:tcPr>
          <w:p w14:paraId="2FE8006B">
            <w:pPr>
              <w:keepNext w:val="0"/>
              <w:keepLines w:val="0"/>
              <w:widowControl/>
              <w:suppressLineNumbers w:val="0"/>
              <w:spacing w:before="0" w:beforeAutospacing="0" w:after="0" w:afterAutospacing="0"/>
              <w:ind w:left="0" w:right="0"/>
              <w:jc w:val="left"/>
              <w:rPr>
                <w:rFonts w:hint="default" w:ascii="宋体" w:hAnsi="宋体" w:cs="宋体"/>
                <w:b/>
                <w:bCs/>
                <w:kern w:val="0"/>
                <w:sz w:val="18"/>
                <w:szCs w:val="18"/>
              </w:rPr>
            </w:pPr>
          </w:p>
        </w:tc>
        <w:tc>
          <w:tcPr>
            <w:tcW w:w="1489" w:type="dxa"/>
            <w:tcBorders>
              <w:top w:val="nil"/>
              <w:left w:val="nil"/>
              <w:bottom w:val="single" w:color="auto" w:sz="4" w:space="0"/>
              <w:right w:val="single" w:color="auto" w:sz="4" w:space="0"/>
            </w:tcBorders>
            <w:noWrap w:val="0"/>
            <w:vAlign w:val="center"/>
          </w:tcPr>
          <w:p w14:paraId="786076A1">
            <w:pPr>
              <w:keepNext w:val="0"/>
              <w:keepLines w:val="0"/>
              <w:widowControl/>
              <w:suppressLineNumbers w:val="0"/>
              <w:spacing w:before="0" w:beforeAutospacing="0" w:after="0" w:afterAutospacing="0"/>
              <w:ind w:left="0" w:right="0"/>
              <w:jc w:val="left"/>
              <w:rPr>
                <w:rFonts w:hint="eastAsia" w:ascii="宋体" w:hAnsi="宋体" w:cs="宋体"/>
                <w:kern w:val="0"/>
                <w:sz w:val="18"/>
                <w:szCs w:val="18"/>
              </w:rPr>
            </w:pPr>
            <w:r>
              <w:rPr>
                <w:rFonts w:hint="eastAsia" w:ascii="宋体" w:hAnsi="宋体" w:cs="宋体"/>
                <w:kern w:val="0"/>
                <w:sz w:val="18"/>
                <w:szCs w:val="18"/>
              </w:rPr>
              <w:t>营业收入（Y）</w:t>
            </w:r>
          </w:p>
        </w:tc>
        <w:tc>
          <w:tcPr>
            <w:tcW w:w="983" w:type="dxa"/>
            <w:tcBorders>
              <w:top w:val="nil"/>
              <w:left w:val="nil"/>
              <w:bottom w:val="single" w:color="auto" w:sz="4" w:space="0"/>
              <w:right w:val="single" w:color="auto" w:sz="4" w:space="0"/>
            </w:tcBorders>
            <w:noWrap w:val="0"/>
            <w:vAlign w:val="center"/>
          </w:tcPr>
          <w:p w14:paraId="17FE2747">
            <w:pPr>
              <w:keepNext w:val="0"/>
              <w:keepLines w:val="0"/>
              <w:widowControl/>
              <w:suppressLineNumbers w:val="0"/>
              <w:spacing w:before="0" w:beforeAutospacing="0" w:after="0" w:afterAutospacing="0"/>
              <w:ind w:left="0" w:right="0"/>
              <w:jc w:val="left"/>
              <w:rPr>
                <w:rFonts w:hint="eastAsia" w:ascii="宋体" w:hAnsi="宋体" w:cs="宋体"/>
                <w:kern w:val="0"/>
                <w:sz w:val="18"/>
                <w:szCs w:val="18"/>
              </w:rPr>
            </w:pPr>
            <w:r>
              <w:rPr>
                <w:rFonts w:hint="eastAsia" w:ascii="宋体" w:hAnsi="宋体" w:cs="宋体"/>
                <w:kern w:val="0"/>
                <w:sz w:val="18"/>
                <w:szCs w:val="18"/>
              </w:rPr>
              <w:t>万元</w:t>
            </w:r>
          </w:p>
        </w:tc>
        <w:tc>
          <w:tcPr>
            <w:tcW w:w="1743" w:type="dxa"/>
            <w:tcBorders>
              <w:top w:val="nil"/>
              <w:left w:val="nil"/>
              <w:bottom w:val="single" w:color="auto" w:sz="4" w:space="0"/>
              <w:right w:val="single" w:color="auto" w:sz="4" w:space="0"/>
            </w:tcBorders>
            <w:noWrap w:val="0"/>
            <w:vAlign w:val="center"/>
          </w:tcPr>
          <w:p w14:paraId="79DCD198">
            <w:pPr>
              <w:keepNext w:val="0"/>
              <w:keepLines w:val="0"/>
              <w:widowControl/>
              <w:suppressLineNumbers w:val="0"/>
              <w:spacing w:before="0" w:beforeAutospacing="0" w:after="0" w:afterAutospacing="0"/>
              <w:ind w:left="0" w:right="0"/>
              <w:jc w:val="left"/>
              <w:rPr>
                <w:rFonts w:hint="eastAsia" w:ascii="宋体" w:hAnsi="宋体" w:cs="宋体"/>
                <w:kern w:val="0"/>
                <w:sz w:val="18"/>
                <w:szCs w:val="18"/>
              </w:rPr>
            </w:pPr>
            <w:r>
              <w:rPr>
                <w:rFonts w:hint="eastAsia" w:ascii="宋体" w:hAnsi="宋体" w:cs="宋体"/>
                <w:kern w:val="0"/>
                <w:sz w:val="18"/>
                <w:szCs w:val="18"/>
              </w:rPr>
              <w:t>2000≤Y＜40000</w:t>
            </w:r>
          </w:p>
        </w:tc>
        <w:tc>
          <w:tcPr>
            <w:tcW w:w="1549" w:type="dxa"/>
            <w:tcBorders>
              <w:top w:val="nil"/>
              <w:left w:val="nil"/>
              <w:bottom w:val="single" w:color="auto" w:sz="4" w:space="0"/>
              <w:right w:val="single" w:color="auto" w:sz="4" w:space="0"/>
            </w:tcBorders>
            <w:noWrap w:val="0"/>
            <w:vAlign w:val="center"/>
          </w:tcPr>
          <w:p w14:paraId="60E6B718">
            <w:pPr>
              <w:keepNext w:val="0"/>
              <w:keepLines w:val="0"/>
              <w:widowControl/>
              <w:suppressLineNumbers w:val="0"/>
              <w:spacing w:before="0" w:beforeAutospacing="0" w:after="0" w:afterAutospacing="0"/>
              <w:ind w:left="0" w:right="0"/>
              <w:jc w:val="left"/>
              <w:rPr>
                <w:rFonts w:hint="eastAsia" w:ascii="宋体" w:hAnsi="宋体" w:cs="宋体"/>
                <w:kern w:val="0"/>
                <w:sz w:val="18"/>
                <w:szCs w:val="18"/>
              </w:rPr>
            </w:pPr>
            <w:r>
              <w:rPr>
                <w:rFonts w:hint="eastAsia" w:ascii="宋体" w:hAnsi="宋体" w:cs="宋体"/>
                <w:kern w:val="0"/>
                <w:sz w:val="18"/>
                <w:szCs w:val="18"/>
              </w:rPr>
              <w:t>300≤Y＜2000</w:t>
            </w:r>
          </w:p>
        </w:tc>
        <w:tc>
          <w:tcPr>
            <w:tcW w:w="996" w:type="dxa"/>
            <w:tcBorders>
              <w:top w:val="nil"/>
              <w:left w:val="nil"/>
              <w:bottom w:val="single" w:color="auto" w:sz="4" w:space="0"/>
              <w:right w:val="single" w:color="auto" w:sz="4" w:space="0"/>
            </w:tcBorders>
            <w:noWrap w:val="0"/>
            <w:vAlign w:val="center"/>
          </w:tcPr>
          <w:p w14:paraId="1BC329AD">
            <w:pPr>
              <w:keepNext w:val="0"/>
              <w:keepLines w:val="0"/>
              <w:widowControl/>
              <w:suppressLineNumbers w:val="0"/>
              <w:spacing w:before="0" w:beforeAutospacing="0" w:after="0" w:afterAutospacing="0"/>
              <w:ind w:left="0" w:right="0"/>
              <w:jc w:val="left"/>
              <w:rPr>
                <w:rFonts w:hint="eastAsia" w:ascii="宋体" w:hAnsi="宋体" w:cs="宋体"/>
                <w:kern w:val="0"/>
                <w:sz w:val="18"/>
                <w:szCs w:val="18"/>
              </w:rPr>
            </w:pPr>
            <w:r>
              <w:rPr>
                <w:rFonts w:hint="eastAsia" w:ascii="宋体" w:hAnsi="宋体" w:cs="宋体"/>
                <w:kern w:val="0"/>
                <w:sz w:val="18"/>
                <w:szCs w:val="18"/>
              </w:rPr>
              <w:t>Y＜300</w:t>
            </w:r>
          </w:p>
        </w:tc>
      </w:tr>
      <w:tr w14:paraId="28030C87">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noWrap w:val="0"/>
            <w:vAlign w:val="bottom"/>
          </w:tcPr>
          <w:p w14:paraId="02EB56DF">
            <w:pPr>
              <w:keepNext w:val="0"/>
              <w:keepLines w:val="0"/>
              <w:widowControl/>
              <w:suppressLineNumbers w:val="0"/>
              <w:spacing w:before="0" w:beforeAutospacing="0" w:after="0" w:afterAutospacing="0"/>
              <w:ind w:left="0" w:right="0"/>
              <w:jc w:val="center"/>
              <w:rPr>
                <w:rFonts w:hint="eastAsia" w:ascii="宋体" w:hAnsi="宋体" w:cs="宋体"/>
                <w:b/>
                <w:bCs/>
                <w:kern w:val="0"/>
                <w:sz w:val="18"/>
                <w:szCs w:val="18"/>
              </w:rPr>
            </w:pPr>
            <w:r>
              <w:rPr>
                <w:rFonts w:hint="eastAsia" w:ascii="宋体" w:hAnsi="宋体" w:cs="宋体"/>
                <w:b/>
                <w:bCs/>
                <w:kern w:val="0"/>
                <w:sz w:val="18"/>
                <w:szCs w:val="18"/>
              </w:rPr>
              <w:t>建筑业</w:t>
            </w:r>
          </w:p>
        </w:tc>
        <w:tc>
          <w:tcPr>
            <w:tcW w:w="1489" w:type="dxa"/>
            <w:tcBorders>
              <w:top w:val="nil"/>
              <w:left w:val="nil"/>
              <w:bottom w:val="single" w:color="auto" w:sz="4" w:space="0"/>
              <w:right w:val="single" w:color="auto" w:sz="4" w:space="0"/>
            </w:tcBorders>
            <w:noWrap w:val="0"/>
            <w:vAlign w:val="center"/>
          </w:tcPr>
          <w:p w14:paraId="545BBEC7">
            <w:pPr>
              <w:keepNext w:val="0"/>
              <w:keepLines w:val="0"/>
              <w:widowControl/>
              <w:suppressLineNumbers w:val="0"/>
              <w:spacing w:before="0" w:beforeAutospacing="0" w:after="0" w:afterAutospacing="0"/>
              <w:ind w:left="0" w:right="0"/>
              <w:jc w:val="left"/>
              <w:rPr>
                <w:rFonts w:hint="eastAsia" w:ascii="宋体" w:hAnsi="宋体" w:cs="宋体"/>
                <w:kern w:val="0"/>
                <w:sz w:val="18"/>
                <w:szCs w:val="18"/>
              </w:rPr>
            </w:pPr>
            <w:r>
              <w:rPr>
                <w:rFonts w:hint="eastAsia" w:ascii="宋体" w:hAnsi="宋体" w:cs="宋体"/>
                <w:kern w:val="0"/>
                <w:sz w:val="18"/>
                <w:szCs w:val="18"/>
              </w:rPr>
              <w:t>营业收入（Y）</w:t>
            </w:r>
          </w:p>
        </w:tc>
        <w:tc>
          <w:tcPr>
            <w:tcW w:w="983" w:type="dxa"/>
            <w:tcBorders>
              <w:top w:val="nil"/>
              <w:left w:val="nil"/>
              <w:bottom w:val="single" w:color="auto" w:sz="4" w:space="0"/>
              <w:right w:val="single" w:color="auto" w:sz="4" w:space="0"/>
            </w:tcBorders>
            <w:noWrap w:val="0"/>
            <w:vAlign w:val="center"/>
          </w:tcPr>
          <w:p w14:paraId="6AE69F94">
            <w:pPr>
              <w:keepNext w:val="0"/>
              <w:keepLines w:val="0"/>
              <w:widowControl/>
              <w:suppressLineNumbers w:val="0"/>
              <w:spacing w:before="0" w:beforeAutospacing="0" w:after="0" w:afterAutospacing="0"/>
              <w:ind w:left="0" w:right="0"/>
              <w:jc w:val="left"/>
              <w:rPr>
                <w:rFonts w:hint="eastAsia" w:ascii="宋体" w:hAnsi="宋体" w:cs="宋体"/>
                <w:kern w:val="0"/>
                <w:sz w:val="18"/>
                <w:szCs w:val="18"/>
              </w:rPr>
            </w:pPr>
            <w:r>
              <w:rPr>
                <w:rFonts w:hint="eastAsia" w:ascii="宋体" w:hAnsi="宋体" w:cs="宋体"/>
                <w:kern w:val="0"/>
                <w:sz w:val="18"/>
                <w:szCs w:val="18"/>
              </w:rPr>
              <w:t>万元</w:t>
            </w:r>
          </w:p>
        </w:tc>
        <w:tc>
          <w:tcPr>
            <w:tcW w:w="1743" w:type="dxa"/>
            <w:tcBorders>
              <w:top w:val="nil"/>
              <w:left w:val="nil"/>
              <w:bottom w:val="single" w:color="auto" w:sz="4" w:space="0"/>
              <w:right w:val="single" w:color="auto" w:sz="4" w:space="0"/>
            </w:tcBorders>
            <w:noWrap w:val="0"/>
            <w:vAlign w:val="center"/>
          </w:tcPr>
          <w:p w14:paraId="1E208046">
            <w:pPr>
              <w:keepNext w:val="0"/>
              <w:keepLines w:val="0"/>
              <w:widowControl/>
              <w:suppressLineNumbers w:val="0"/>
              <w:spacing w:before="0" w:beforeAutospacing="0" w:after="0" w:afterAutospacing="0"/>
              <w:ind w:left="0" w:right="0"/>
              <w:jc w:val="left"/>
              <w:rPr>
                <w:rFonts w:hint="eastAsia" w:ascii="宋体" w:hAnsi="宋体" w:cs="宋体"/>
                <w:kern w:val="0"/>
                <w:sz w:val="18"/>
                <w:szCs w:val="18"/>
              </w:rPr>
            </w:pPr>
            <w:r>
              <w:rPr>
                <w:rFonts w:hint="eastAsia" w:ascii="宋体" w:hAnsi="宋体" w:cs="宋体"/>
                <w:kern w:val="0"/>
                <w:sz w:val="18"/>
                <w:szCs w:val="18"/>
              </w:rPr>
              <w:t>6000≤Y＜80000</w:t>
            </w:r>
          </w:p>
        </w:tc>
        <w:tc>
          <w:tcPr>
            <w:tcW w:w="1549" w:type="dxa"/>
            <w:tcBorders>
              <w:top w:val="nil"/>
              <w:left w:val="nil"/>
              <w:bottom w:val="single" w:color="auto" w:sz="4" w:space="0"/>
              <w:right w:val="single" w:color="auto" w:sz="4" w:space="0"/>
            </w:tcBorders>
            <w:noWrap w:val="0"/>
            <w:vAlign w:val="center"/>
          </w:tcPr>
          <w:p w14:paraId="787FEBDC">
            <w:pPr>
              <w:keepNext w:val="0"/>
              <w:keepLines w:val="0"/>
              <w:widowControl/>
              <w:suppressLineNumbers w:val="0"/>
              <w:spacing w:before="0" w:beforeAutospacing="0" w:after="0" w:afterAutospacing="0"/>
              <w:ind w:left="0" w:right="0"/>
              <w:jc w:val="left"/>
              <w:rPr>
                <w:rFonts w:hint="eastAsia" w:ascii="宋体" w:hAnsi="宋体" w:cs="宋体"/>
                <w:kern w:val="0"/>
                <w:sz w:val="18"/>
                <w:szCs w:val="18"/>
              </w:rPr>
            </w:pPr>
            <w:r>
              <w:rPr>
                <w:rFonts w:hint="eastAsia" w:ascii="宋体" w:hAnsi="宋体" w:cs="宋体"/>
                <w:kern w:val="0"/>
                <w:sz w:val="18"/>
                <w:szCs w:val="18"/>
              </w:rPr>
              <w:t>300≤Y＜6000</w:t>
            </w:r>
          </w:p>
        </w:tc>
        <w:tc>
          <w:tcPr>
            <w:tcW w:w="996" w:type="dxa"/>
            <w:tcBorders>
              <w:top w:val="nil"/>
              <w:left w:val="nil"/>
              <w:bottom w:val="single" w:color="auto" w:sz="4" w:space="0"/>
              <w:right w:val="single" w:color="auto" w:sz="4" w:space="0"/>
            </w:tcBorders>
            <w:noWrap w:val="0"/>
            <w:vAlign w:val="center"/>
          </w:tcPr>
          <w:p w14:paraId="66C2025F">
            <w:pPr>
              <w:keepNext w:val="0"/>
              <w:keepLines w:val="0"/>
              <w:widowControl/>
              <w:suppressLineNumbers w:val="0"/>
              <w:spacing w:before="0" w:beforeAutospacing="0" w:after="0" w:afterAutospacing="0"/>
              <w:ind w:left="0" w:right="0"/>
              <w:jc w:val="left"/>
              <w:rPr>
                <w:rFonts w:hint="eastAsia" w:ascii="宋体" w:hAnsi="宋体" w:cs="宋体"/>
                <w:kern w:val="0"/>
                <w:sz w:val="18"/>
                <w:szCs w:val="18"/>
              </w:rPr>
            </w:pPr>
            <w:r>
              <w:rPr>
                <w:rFonts w:hint="eastAsia" w:ascii="宋体" w:hAnsi="宋体" w:cs="宋体"/>
                <w:kern w:val="0"/>
                <w:sz w:val="18"/>
                <w:szCs w:val="18"/>
              </w:rPr>
              <w:t>Y＜300</w:t>
            </w:r>
          </w:p>
        </w:tc>
      </w:tr>
      <w:tr w14:paraId="3AD9F81C">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noWrap w:val="0"/>
            <w:vAlign w:val="center"/>
          </w:tcPr>
          <w:p w14:paraId="2F11F8E5">
            <w:pPr>
              <w:keepNext w:val="0"/>
              <w:keepLines w:val="0"/>
              <w:widowControl/>
              <w:suppressLineNumbers w:val="0"/>
              <w:spacing w:before="0" w:beforeAutospacing="0" w:after="0" w:afterAutospacing="0"/>
              <w:ind w:left="0" w:right="0"/>
              <w:jc w:val="left"/>
              <w:rPr>
                <w:rFonts w:hint="default" w:ascii="宋体" w:hAnsi="宋体" w:cs="宋体"/>
                <w:b/>
                <w:bCs/>
                <w:kern w:val="0"/>
                <w:sz w:val="18"/>
                <w:szCs w:val="18"/>
              </w:rPr>
            </w:pPr>
          </w:p>
        </w:tc>
        <w:tc>
          <w:tcPr>
            <w:tcW w:w="1489" w:type="dxa"/>
            <w:tcBorders>
              <w:top w:val="nil"/>
              <w:left w:val="nil"/>
              <w:bottom w:val="single" w:color="auto" w:sz="4" w:space="0"/>
              <w:right w:val="single" w:color="auto" w:sz="4" w:space="0"/>
            </w:tcBorders>
            <w:noWrap w:val="0"/>
            <w:vAlign w:val="center"/>
          </w:tcPr>
          <w:p w14:paraId="2A832E8B">
            <w:pPr>
              <w:keepNext w:val="0"/>
              <w:keepLines w:val="0"/>
              <w:widowControl/>
              <w:suppressLineNumbers w:val="0"/>
              <w:spacing w:before="0" w:beforeAutospacing="0" w:after="0" w:afterAutospacing="0"/>
              <w:ind w:left="0" w:right="0"/>
              <w:jc w:val="left"/>
              <w:rPr>
                <w:rFonts w:hint="eastAsia" w:ascii="宋体" w:hAnsi="宋体" w:cs="宋体"/>
                <w:kern w:val="0"/>
                <w:sz w:val="18"/>
                <w:szCs w:val="18"/>
              </w:rPr>
            </w:pPr>
            <w:r>
              <w:rPr>
                <w:rFonts w:hint="eastAsia" w:ascii="宋体" w:hAnsi="宋体" w:cs="宋体"/>
                <w:kern w:val="0"/>
                <w:sz w:val="18"/>
                <w:szCs w:val="18"/>
              </w:rPr>
              <w:t>资产总额（Z）</w:t>
            </w:r>
          </w:p>
        </w:tc>
        <w:tc>
          <w:tcPr>
            <w:tcW w:w="983" w:type="dxa"/>
            <w:tcBorders>
              <w:top w:val="nil"/>
              <w:left w:val="nil"/>
              <w:bottom w:val="single" w:color="auto" w:sz="4" w:space="0"/>
              <w:right w:val="single" w:color="auto" w:sz="4" w:space="0"/>
            </w:tcBorders>
            <w:noWrap w:val="0"/>
            <w:vAlign w:val="center"/>
          </w:tcPr>
          <w:p w14:paraId="610F4630">
            <w:pPr>
              <w:keepNext w:val="0"/>
              <w:keepLines w:val="0"/>
              <w:widowControl/>
              <w:suppressLineNumbers w:val="0"/>
              <w:spacing w:before="0" w:beforeAutospacing="0" w:after="0" w:afterAutospacing="0"/>
              <w:ind w:left="0" w:right="0"/>
              <w:jc w:val="left"/>
              <w:rPr>
                <w:rFonts w:hint="eastAsia" w:ascii="宋体" w:hAnsi="宋体" w:cs="宋体"/>
                <w:kern w:val="0"/>
                <w:sz w:val="18"/>
                <w:szCs w:val="18"/>
              </w:rPr>
            </w:pPr>
            <w:r>
              <w:rPr>
                <w:rFonts w:hint="eastAsia" w:ascii="宋体" w:hAnsi="宋体" w:cs="宋体"/>
                <w:kern w:val="0"/>
                <w:sz w:val="18"/>
                <w:szCs w:val="18"/>
              </w:rPr>
              <w:t>万元</w:t>
            </w:r>
          </w:p>
        </w:tc>
        <w:tc>
          <w:tcPr>
            <w:tcW w:w="1743" w:type="dxa"/>
            <w:tcBorders>
              <w:top w:val="nil"/>
              <w:left w:val="nil"/>
              <w:bottom w:val="single" w:color="auto" w:sz="4" w:space="0"/>
              <w:right w:val="single" w:color="auto" w:sz="4" w:space="0"/>
            </w:tcBorders>
            <w:noWrap w:val="0"/>
            <w:vAlign w:val="center"/>
          </w:tcPr>
          <w:p w14:paraId="75CFBC8F">
            <w:pPr>
              <w:keepNext w:val="0"/>
              <w:keepLines w:val="0"/>
              <w:widowControl/>
              <w:suppressLineNumbers w:val="0"/>
              <w:spacing w:before="0" w:beforeAutospacing="0" w:after="0" w:afterAutospacing="0"/>
              <w:ind w:left="0" w:right="0"/>
              <w:jc w:val="left"/>
              <w:rPr>
                <w:rFonts w:hint="eastAsia" w:ascii="宋体" w:hAnsi="宋体" w:cs="宋体"/>
                <w:kern w:val="0"/>
                <w:sz w:val="18"/>
                <w:szCs w:val="18"/>
              </w:rPr>
            </w:pPr>
            <w:r>
              <w:rPr>
                <w:rFonts w:hint="eastAsia" w:ascii="宋体" w:hAnsi="宋体" w:cs="宋体"/>
                <w:kern w:val="0"/>
                <w:sz w:val="18"/>
                <w:szCs w:val="18"/>
              </w:rPr>
              <w:t>5000≤Z＜80000</w:t>
            </w:r>
          </w:p>
        </w:tc>
        <w:tc>
          <w:tcPr>
            <w:tcW w:w="1549" w:type="dxa"/>
            <w:tcBorders>
              <w:top w:val="nil"/>
              <w:left w:val="nil"/>
              <w:bottom w:val="single" w:color="auto" w:sz="4" w:space="0"/>
              <w:right w:val="single" w:color="auto" w:sz="4" w:space="0"/>
            </w:tcBorders>
            <w:noWrap w:val="0"/>
            <w:vAlign w:val="center"/>
          </w:tcPr>
          <w:p w14:paraId="00565F2F">
            <w:pPr>
              <w:keepNext w:val="0"/>
              <w:keepLines w:val="0"/>
              <w:widowControl/>
              <w:suppressLineNumbers w:val="0"/>
              <w:spacing w:before="0" w:beforeAutospacing="0" w:after="0" w:afterAutospacing="0"/>
              <w:ind w:left="0" w:right="0"/>
              <w:jc w:val="left"/>
              <w:rPr>
                <w:rFonts w:hint="eastAsia" w:ascii="宋体" w:hAnsi="宋体" w:cs="宋体"/>
                <w:kern w:val="0"/>
                <w:sz w:val="18"/>
                <w:szCs w:val="18"/>
              </w:rPr>
            </w:pPr>
            <w:r>
              <w:rPr>
                <w:rFonts w:hint="eastAsia" w:ascii="宋体" w:hAnsi="宋体" w:cs="宋体"/>
                <w:kern w:val="0"/>
                <w:sz w:val="18"/>
                <w:szCs w:val="18"/>
              </w:rPr>
              <w:t>300≤Z＜5000</w:t>
            </w:r>
          </w:p>
        </w:tc>
        <w:tc>
          <w:tcPr>
            <w:tcW w:w="996" w:type="dxa"/>
            <w:tcBorders>
              <w:top w:val="nil"/>
              <w:left w:val="nil"/>
              <w:bottom w:val="single" w:color="auto" w:sz="4" w:space="0"/>
              <w:right w:val="single" w:color="auto" w:sz="4" w:space="0"/>
            </w:tcBorders>
            <w:noWrap w:val="0"/>
            <w:vAlign w:val="center"/>
          </w:tcPr>
          <w:p w14:paraId="2DB2976E">
            <w:pPr>
              <w:keepNext w:val="0"/>
              <w:keepLines w:val="0"/>
              <w:widowControl/>
              <w:suppressLineNumbers w:val="0"/>
              <w:spacing w:before="0" w:beforeAutospacing="0" w:after="0" w:afterAutospacing="0"/>
              <w:ind w:left="0" w:right="0"/>
              <w:jc w:val="left"/>
              <w:rPr>
                <w:rFonts w:hint="eastAsia" w:ascii="宋体" w:hAnsi="宋体" w:cs="宋体"/>
                <w:kern w:val="0"/>
                <w:sz w:val="18"/>
                <w:szCs w:val="18"/>
              </w:rPr>
            </w:pPr>
            <w:r>
              <w:rPr>
                <w:rFonts w:hint="eastAsia" w:ascii="宋体" w:hAnsi="宋体" w:cs="宋体"/>
                <w:kern w:val="0"/>
                <w:sz w:val="18"/>
                <w:szCs w:val="18"/>
              </w:rPr>
              <w:t>Z＜300</w:t>
            </w:r>
          </w:p>
        </w:tc>
      </w:tr>
      <w:tr w14:paraId="65331B0D">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noWrap w:val="0"/>
            <w:vAlign w:val="bottom"/>
          </w:tcPr>
          <w:p w14:paraId="7D37F335">
            <w:pPr>
              <w:keepNext w:val="0"/>
              <w:keepLines w:val="0"/>
              <w:widowControl/>
              <w:suppressLineNumbers w:val="0"/>
              <w:spacing w:before="0" w:beforeAutospacing="0" w:after="0" w:afterAutospacing="0"/>
              <w:ind w:left="0" w:right="0"/>
              <w:jc w:val="center"/>
              <w:rPr>
                <w:rFonts w:hint="eastAsia" w:ascii="宋体" w:hAnsi="宋体" w:cs="宋体"/>
                <w:b/>
                <w:bCs/>
                <w:kern w:val="0"/>
                <w:sz w:val="18"/>
                <w:szCs w:val="18"/>
              </w:rPr>
            </w:pPr>
            <w:r>
              <w:rPr>
                <w:rFonts w:hint="eastAsia" w:ascii="宋体" w:hAnsi="宋体" w:cs="宋体"/>
                <w:b/>
                <w:bCs/>
                <w:kern w:val="0"/>
                <w:sz w:val="18"/>
                <w:szCs w:val="18"/>
              </w:rPr>
              <w:t>批发业</w:t>
            </w:r>
          </w:p>
        </w:tc>
        <w:tc>
          <w:tcPr>
            <w:tcW w:w="1489" w:type="dxa"/>
            <w:tcBorders>
              <w:top w:val="nil"/>
              <w:left w:val="nil"/>
              <w:bottom w:val="single" w:color="auto" w:sz="4" w:space="0"/>
              <w:right w:val="single" w:color="auto" w:sz="4" w:space="0"/>
            </w:tcBorders>
            <w:noWrap w:val="0"/>
            <w:vAlign w:val="center"/>
          </w:tcPr>
          <w:p w14:paraId="0E40477B">
            <w:pPr>
              <w:keepNext w:val="0"/>
              <w:keepLines w:val="0"/>
              <w:widowControl/>
              <w:suppressLineNumbers w:val="0"/>
              <w:spacing w:before="0" w:beforeAutospacing="0" w:after="0" w:afterAutospacing="0"/>
              <w:ind w:left="0" w:right="0"/>
              <w:jc w:val="left"/>
              <w:rPr>
                <w:rFonts w:hint="eastAsia" w:ascii="宋体" w:hAnsi="宋体" w:cs="宋体"/>
                <w:kern w:val="0"/>
                <w:sz w:val="18"/>
                <w:szCs w:val="18"/>
              </w:rPr>
            </w:pPr>
            <w:r>
              <w:rPr>
                <w:rFonts w:hint="eastAsia" w:ascii="宋体" w:hAnsi="宋体" w:cs="宋体"/>
                <w:kern w:val="0"/>
                <w:sz w:val="18"/>
                <w:szCs w:val="18"/>
              </w:rPr>
              <w:t>从业人员（X）</w:t>
            </w:r>
          </w:p>
        </w:tc>
        <w:tc>
          <w:tcPr>
            <w:tcW w:w="983" w:type="dxa"/>
            <w:tcBorders>
              <w:top w:val="nil"/>
              <w:left w:val="nil"/>
              <w:bottom w:val="single" w:color="auto" w:sz="4" w:space="0"/>
              <w:right w:val="single" w:color="auto" w:sz="4" w:space="0"/>
            </w:tcBorders>
            <w:noWrap w:val="0"/>
            <w:vAlign w:val="center"/>
          </w:tcPr>
          <w:p w14:paraId="454276CF">
            <w:pPr>
              <w:keepNext w:val="0"/>
              <w:keepLines w:val="0"/>
              <w:widowControl/>
              <w:suppressLineNumbers w:val="0"/>
              <w:spacing w:before="0" w:beforeAutospacing="0" w:after="0" w:afterAutospacing="0"/>
              <w:ind w:left="0" w:right="0"/>
              <w:jc w:val="left"/>
              <w:rPr>
                <w:rFonts w:hint="eastAsia" w:ascii="宋体" w:hAnsi="宋体" w:cs="宋体"/>
                <w:kern w:val="0"/>
                <w:sz w:val="18"/>
                <w:szCs w:val="18"/>
              </w:rPr>
            </w:pPr>
            <w:r>
              <w:rPr>
                <w:rFonts w:hint="eastAsia" w:ascii="宋体" w:hAnsi="宋体" w:cs="宋体"/>
                <w:kern w:val="0"/>
                <w:sz w:val="18"/>
                <w:szCs w:val="18"/>
              </w:rPr>
              <w:t>人</w:t>
            </w:r>
          </w:p>
        </w:tc>
        <w:tc>
          <w:tcPr>
            <w:tcW w:w="1743" w:type="dxa"/>
            <w:tcBorders>
              <w:top w:val="nil"/>
              <w:left w:val="nil"/>
              <w:bottom w:val="single" w:color="auto" w:sz="4" w:space="0"/>
              <w:right w:val="single" w:color="auto" w:sz="4" w:space="0"/>
            </w:tcBorders>
            <w:noWrap w:val="0"/>
            <w:vAlign w:val="center"/>
          </w:tcPr>
          <w:p w14:paraId="737BB65C">
            <w:pPr>
              <w:keepNext w:val="0"/>
              <w:keepLines w:val="0"/>
              <w:widowControl/>
              <w:suppressLineNumbers w:val="0"/>
              <w:spacing w:before="0" w:beforeAutospacing="0" w:after="0" w:afterAutospacing="0"/>
              <w:ind w:left="0" w:right="0"/>
              <w:jc w:val="left"/>
              <w:rPr>
                <w:rFonts w:hint="eastAsia" w:ascii="宋体" w:hAnsi="宋体" w:cs="宋体"/>
                <w:kern w:val="0"/>
                <w:sz w:val="18"/>
                <w:szCs w:val="18"/>
              </w:rPr>
            </w:pPr>
            <w:r>
              <w:rPr>
                <w:rFonts w:hint="eastAsia" w:ascii="宋体" w:hAnsi="宋体" w:cs="宋体"/>
                <w:kern w:val="0"/>
                <w:sz w:val="18"/>
                <w:szCs w:val="18"/>
              </w:rPr>
              <w:t>20≤X＜200</w:t>
            </w:r>
          </w:p>
        </w:tc>
        <w:tc>
          <w:tcPr>
            <w:tcW w:w="1549" w:type="dxa"/>
            <w:tcBorders>
              <w:top w:val="nil"/>
              <w:left w:val="nil"/>
              <w:bottom w:val="single" w:color="auto" w:sz="4" w:space="0"/>
              <w:right w:val="single" w:color="auto" w:sz="4" w:space="0"/>
            </w:tcBorders>
            <w:noWrap w:val="0"/>
            <w:vAlign w:val="center"/>
          </w:tcPr>
          <w:p w14:paraId="4BAD5913">
            <w:pPr>
              <w:keepNext w:val="0"/>
              <w:keepLines w:val="0"/>
              <w:widowControl/>
              <w:suppressLineNumbers w:val="0"/>
              <w:spacing w:before="0" w:beforeAutospacing="0" w:after="0" w:afterAutospacing="0"/>
              <w:ind w:left="0" w:right="0"/>
              <w:jc w:val="left"/>
              <w:rPr>
                <w:rFonts w:hint="eastAsia" w:ascii="宋体" w:hAnsi="宋体" w:cs="宋体"/>
                <w:kern w:val="0"/>
                <w:sz w:val="18"/>
                <w:szCs w:val="18"/>
              </w:rPr>
            </w:pPr>
            <w:r>
              <w:rPr>
                <w:rFonts w:hint="eastAsia" w:ascii="宋体" w:hAnsi="宋体" w:cs="宋体"/>
                <w:kern w:val="0"/>
                <w:sz w:val="18"/>
                <w:szCs w:val="18"/>
              </w:rPr>
              <w:t>5≤X＜20</w:t>
            </w:r>
          </w:p>
        </w:tc>
        <w:tc>
          <w:tcPr>
            <w:tcW w:w="996" w:type="dxa"/>
            <w:tcBorders>
              <w:top w:val="nil"/>
              <w:left w:val="nil"/>
              <w:bottom w:val="single" w:color="auto" w:sz="4" w:space="0"/>
              <w:right w:val="single" w:color="auto" w:sz="4" w:space="0"/>
            </w:tcBorders>
            <w:noWrap w:val="0"/>
            <w:vAlign w:val="center"/>
          </w:tcPr>
          <w:p w14:paraId="3627FC7B">
            <w:pPr>
              <w:keepNext w:val="0"/>
              <w:keepLines w:val="0"/>
              <w:widowControl/>
              <w:suppressLineNumbers w:val="0"/>
              <w:spacing w:before="0" w:beforeAutospacing="0" w:after="0" w:afterAutospacing="0"/>
              <w:ind w:left="0" w:right="0"/>
              <w:jc w:val="left"/>
              <w:rPr>
                <w:rFonts w:hint="eastAsia" w:ascii="宋体" w:hAnsi="宋体" w:cs="宋体"/>
                <w:kern w:val="0"/>
                <w:sz w:val="18"/>
                <w:szCs w:val="18"/>
              </w:rPr>
            </w:pPr>
            <w:r>
              <w:rPr>
                <w:rFonts w:hint="eastAsia" w:ascii="宋体" w:hAnsi="宋体" w:cs="宋体"/>
                <w:kern w:val="0"/>
                <w:sz w:val="18"/>
                <w:szCs w:val="18"/>
              </w:rPr>
              <w:t>X＜5</w:t>
            </w:r>
          </w:p>
        </w:tc>
      </w:tr>
      <w:tr w14:paraId="024E09CB">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noWrap w:val="0"/>
            <w:vAlign w:val="center"/>
          </w:tcPr>
          <w:p w14:paraId="5CF40103">
            <w:pPr>
              <w:keepNext w:val="0"/>
              <w:keepLines w:val="0"/>
              <w:widowControl/>
              <w:suppressLineNumbers w:val="0"/>
              <w:spacing w:before="0" w:beforeAutospacing="0" w:after="0" w:afterAutospacing="0"/>
              <w:ind w:left="0" w:right="0"/>
              <w:jc w:val="left"/>
              <w:rPr>
                <w:rFonts w:hint="default" w:ascii="宋体" w:hAnsi="宋体" w:cs="宋体"/>
                <w:b/>
                <w:bCs/>
                <w:kern w:val="0"/>
                <w:sz w:val="18"/>
                <w:szCs w:val="18"/>
              </w:rPr>
            </w:pPr>
          </w:p>
        </w:tc>
        <w:tc>
          <w:tcPr>
            <w:tcW w:w="1489" w:type="dxa"/>
            <w:tcBorders>
              <w:top w:val="nil"/>
              <w:left w:val="nil"/>
              <w:bottom w:val="single" w:color="auto" w:sz="4" w:space="0"/>
              <w:right w:val="single" w:color="auto" w:sz="4" w:space="0"/>
            </w:tcBorders>
            <w:noWrap w:val="0"/>
            <w:vAlign w:val="center"/>
          </w:tcPr>
          <w:p w14:paraId="179573C7">
            <w:pPr>
              <w:keepNext w:val="0"/>
              <w:keepLines w:val="0"/>
              <w:widowControl/>
              <w:suppressLineNumbers w:val="0"/>
              <w:spacing w:before="0" w:beforeAutospacing="0" w:after="0" w:afterAutospacing="0"/>
              <w:ind w:left="0" w:right="0"/>
              <w:jc w:val="left"/>
              <w:rPr>
                <w:rFonts w:hint="eastAsia" w:ascii="宋体" w:hAnsi="宋体" w:cs="宋体"/>
                <w:kern w:val="0"/>
                <w:sz w:val="18"/>
                <w:szCs w:val="18"/>
              </w:rPr>
            </w:pPr>
            <w:r>
              <w:rPr>
                <w:rFonts w:hint="eastAsia" w:ascii="宋体" w:hAnsi="宋体" w:cs="宋体"/>
                <w:kern w:val="0"/>
                <w:sz w:val="18"/>
                <w:szCs w:val="18"/>
              </w:rPr>
              <w:t>营业收入（Y）</w:t>
            </w:r>
          </w:p>
        </w:tc>
        <w:tc>
          <w:tcPr>
            <w:tcW w:w="983" w:type="dxa"/>
            <w:tcBorders>
              <w:top w:val="nil"/>
              <w:left w:val="nil"/>
              <w:bottom w:val="single" w:color="auto" w:sz="4" w:space="0"/>
              <w:right w:val="single" w:color="auto" w:sz="4" w:space="0"/>
            </w:tcBorders>
            <w:noWrap w:val="0"/>
            <w:vAlign w:val="center"/>
          </w:tcPr>
          <w:p w14:paraId="2800D123">
            <w:pPr>
              <w:keepNext w:val="0"/>
              <w:keepLines w:val="0"/>
              <w:widowControl/>
              <w:suppressLineNumbers w:val="0"/>
              <w:spacing w:before="0" w:beforeAutospacing="0" w:after="0" w:afterAutospacing="0"/>
              <w:ind w:left="0" w:right="0"/>
              <w:jc w:val="left"/>
              <w:rPr>
                <w:rFonts w:hint="eastAsia" w:ascii="宋体" w:hAnsi="宋体" w:cs="宋体"/>
                <w:kern w:val="0"/>
                <w:sz w:val="18"/>
                <w:szCs w:val="18"/>
              </w:rPr>
            </w:pPr>
            <w:r>
              <w:rPr>
                <w:rFonts w:hint="eastAsia" w:ascii="宋体" w:hAnsi="宋体" w:cs="宋体"/>
                <w:kern w:val="0"/>
                <w:sz w:val="18"/>
                <w:szCs w:val="18"/>
              </w:rPr>
              <w:t>万元</w:t>
            </w:r>
          </w:p>
        </w:tc>
        <w:tc>
          <w:tcPr>
            <w:tcW w:w="1743" w:type="dxa"/>
            <w:tcBorders>
              <w:top w:val="nil"/>
              <w:left w:val="nil"/>
              <w:bottom w:val="single" w:color="auto" w:sz="4" w:space="0"/>
              <w:right w:val="single" w:color="auto" w:sz="4" w:space="0"/>
            </w:tcBorders>
            <w:noWrap w:val="0"/>
            <w:vAlign w:val="center"/>
          </w:tcPr>
          <w:p w14:paraId="582ECF1E">
            <w:pPr>
              <w:keepNext w:val="0"/>
              <w:keepLines w:val="0"/>
              <w:widowControl/>
              <w:suppressLineNumbers w:val="0"/>
              <w:spacing w:before="0" w:beforeAutospacing="0" w:after="0" w:afterAutospacing="0"/>
              <w:ind w:left="0" w:right="0"/>
              <w:jc w:val="left"/>
              <w:rPr>
                <w:rFonts w:hint="eastAsia" w:ascii="宋体" w:hAnsi="宋体" w:cs="宋体"/>
                <w:kern w:val="0"/>
                <w:sz w:val="18"/>
                <w:szCs w:val="18"/>
              </w:rPr>
            </w:pPr>
            <w:r>
              <w:rPr>
                <w:rFonts w:hint="eastAsia" w:ascii="宋体" w:hAnsi="宋体" w:cs="宋体"/>
                <w:kern w:val="0"/>
                <w:sz w:val="18"/>
                <w:szCs w:val="18"/>
              </w:rPr>
              <w:t>5000≤Y＜40000</w:t>
            </w:r>
          </w:p>
        </w:tc>
        <w:tc>
          <w:tcPr>
            <w:tcW w:w="1549" w:type="dxa"/>
            <w:tcBorders>
              <w:top w:val="nil"/>
              <w:left w:val="nil"/>
              <w:bottom w:val="single" w:color="auto" w:sz="4" w:space="0"/>
              <w:right w:val="single" w:color="auto" w:sz="4" w:space="0"/>
            </w:tcBorders>
            <w:noWrap w:val="0"/>
            <w:vAlign w:val="center"/>
          </w:tcPr>
          <w:p w14:paraId="492A8DEF">
            <w:pPr>
              <w:keepNext w:val="0"/>
              <w:keepLines w:val="0"/>
              <w:widowControl/>
              <w:suppressLineNumbers w:val="0"/>
              <w:spacing w:before="0" w:beforeAutospacing="0" w:after="0" w:afterAutospacing="0"/>
              <w:ind w:left="0" w:right="0"/>
              <w:jc w:val="left"/>
              <w:rPr>
                <w:rFonts w:hint="eastAsia" w:ascii="宋体" w:hAnsi="宋体" w:cs="宋体"/>
                <w:kern w:val="0"/>
                <w:sz w:val="18"/>
                <w:szCs w:val="18"/>
              </w:rPr>
            </w:pPr>
            <w:r>
              <w:rPr>
                <w:rFonts w:hint="eastAsia" w:ascii="宋体" w:hAnsi="宋体" w:cs="宋体"/>
                <w:kern w:val="0"/>
                <w:sz w:val="18"/>
                <w:szCs w:val="18"/>
              </w:rPr>
              <w:t>1000≤Y＜5000</w:t>
            </w:r>
          </w:p>
        </w:tc>
        <w:tc>
          <w:tcPr>
            <w:tcW w:w="996" w:type="dxa"/>
            <w:tcBorders>
              <w:top w:val="nil"/>
              <w:left w:val="nil"/>
              <w:bottom w:val="single" w:color="auto" w:sz="4" w:space="0"/>
              <w:right w:val="single" w:color="auto" w:sz="4" w:space="0"/>
            </w:tcBorders>
            <w:noWrap w:val="0"/>
            <w:vAlign w:val="center"/>
          </w:tcPr>
          <w:p w14:paraId="4490F396">
            <w:pPr>
              <w:keepNext w:val="0"/>
              <w:keepLines w:val="0"/>
              <w:widowControl/>
              <w:suppressLineNumbers w:val="0"/>
              <w:spacing w:before="0" w:beforeAutospacing="0" w:after="0" w:afterAutospacing="0"/>
              <w:ind w:left="0" w:right="0"/>
              <w:jc w:val="left"/>
              <w:rPr>
                <w:rFonts w:hint="eastAsia" w:ascii="宋体" w:hAnsi="宋体" w:cs="宋体"/>
                <w:kern w:val="0"/>
                <w:sz w:val="18"/>
                <w:szCs w:val="18"/>
              </w:rPr>
            </w:pPr>
            <w:r>
              <w:rPr>
                <w:rFonts w:hint="eastAsia" w:ascii="宋体" w:hAnsi="宋体" w:cs="宋体"/>
                <w:kern w:val="0"/>
                <w:sz w:val="18"/>
                <w:szCs w:val="18"/>
              </w:rPr>
              <w:t>Y＜1000</w:t>
            </w:r>
          </w:p>
        </w:tc>
      </w:tr>
      <w:tr w14:paraId="0E707996">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noWrap w:val="0"/>
            <w:vAlign w:val="bottom"/>
          </w:tcPr>
          <w:p w14:paraId="06643BED">
            <w:pPr>
              <w:keepNext w:val="0"/>
              <w:keepLines w:val="0"/>
              <w:widowControl/>
              <w:suppressLineNumbers w:val="0"/>
              <w:spacing w:before="0" w:beforeAutospacing="0" w:after="0" w:afterAutospacing="0"/>
              <w:ind w:left="0" w:right="0"/>
              <w:jc w:val="center"/>
              <w:rPr>
                <w:rFonts w:hint="eastAsia" w:ascii="宋体" w:hAnsi="宋体" w:cs="宋体"/>
                <w:b/>
                <w:bCs/>
                <w:kern w:val="0"/>
                <w:sz w:val="18"/>
                <w:szCs w:val="18"/>
              </w:rPr>
            </w:pPr>
            <w:r>
              <w:rPr>
                <w:rFonts w:hint="eastAsia" w:ascii="宋体" w:hAnsi="宋体" w:cs="宋体"/>
                <w:b/>
                <w:bCs/>
                <w:kern w:val="0"/>
                <w:sz w:val="18"/>
                <w:szCs w:val="18"/>
              </w:rPr>
              <w:t>零售业</w:t>
            </w:r>
          </w:p>
        </w:tc>
        <w:tc>
          <w:tcPr>
            <w:tcW w:w="1489" w:type="dxa"/>
            <w:tcBorders>
              <w:top w:val="nil"/>
              <w:left w:val="nil"/>
              <w:bottom w:val="single" w:color="auto" w:sz="4" w:space="0"/>
              <w:right w:val="single" w:color="auto" w:sz="4" w:space="0"/>
            </w:tcBorders>
            <w:noWrap w:val="0"/>
            <w:vAlign w:val="center"/>
          </w:tcPr>
          <w:p w14:paraId="5F049A98">
            <w:pPr>
              <w:keepNext w:val="0"/>
              <w:keepLines w:val="0"/>
              <w:widowControl/>
              <w:suppressLineNumbers w:val="0"/>
              <w:spacing w:before="0" w:beforeAutospacing="0" w:after="0" w:afterAutospacing="0"/>
              <w:ind w:left="0" w:right="0"/>
              <w:jc w:val="left"/>
              <w:rPr>
                <w:rFonts w:hint="eastAsia" w:ascii="宋体" w:hAnsi="宋体" w:cs="宋体"/>
                <w:kern w:val="0"/>
                <w:sz w:val="18"/>
                <w:szCs w:val="18"/>
              </w:rPr>
            </w:pPr>
            <w:r>
              <w:rPr>
                <w:rFonts w:hint="eastAsia" w:ascii="宋体" w:hAnsi="宋体" w:cs="宋体"/>
                <w:kern w:val="0"/>
                <w:sz w:val="18"/>
                <w:szCs w:val="18"/>
              </w:rPr>
              <w:t>从业人员（X）</w:t>
            </w:r>
          </w:p>
        </w:tc>
        <w:tc>
          <w:tcPr>
            <w:tcW w:w="983" w:type="dxa"/>
            <w:tcBorders>
              <w:top w:val="nil"/>
              <w:left w:val="nil"/>
              <w:bottom w:val="single" w:color="auto" w:sz="4" w:space="0"/>
              <w:right w:val="single" w:color="auto" w:sz="4" w:space="0"/>
            </w:tcBorders>
            <w:noWrap w:val="0"/>
            <w:vAlign w:val="center"/>
          </w:tcPr>
          <w:p w14:paraId="09AC3B41">
            <w:pPr>
              <w:keepNext w:val="0"/>
              <w:keepLines w:val="0"/>
              <w:widowControl/>
              <w:suppressLineNumbers w:val="0"/>
              <w:spacing w:before="0" w:beforeAutospacing="0" w:after="0" w:afterAutospacing="0"/>
              <w:ind w:left="0" w:right="0"/>
              <w:jc w:val="left"/>
              <w:rPr>
                <w:rFonts w:hint="eastAsia" w:ascii="宋体" w:hAnsi="宋体" w:cs="宋体"/>
                <w:kern w:val="0"/>
                <w:sz w:val="18"/>
                <w:szCs w:val="18"/>
              </w:rPr>
            </w:pPr>
            <w:r>
              <w:rPr>
                <w:rFonts w:hint="eastAsia" w:ascii="宋体" w:hAnsi="宋体" w:cs="宋体"/>
                <w:kern w:val="0"/>
                <w:sz w:val="18"/>
                <w:szCs w:val="18"/>
              </w:rPr>
              <w:t>人</w:t>
            </w:r>
          </w:p>
        </w:tc>
        <w:tc>
          <w:tcPr>
            <w:tcW w:w="1743" w:type="dxa"/>
            <w:tcBorders>
              <w:top w:val="nil"/>
              <w:left w:val="nil"/>
              <w:bottom w:val="single" w:color="auto" w:sz="4" w:space="0"/>
              <w:right w:val="single" w:color="auto" w:sz="4" w:space="0"/>
            </w:tcBorders>
            <w:noWrap w:val="0"/>
            <w:vAlign w:val="center"/>
          </w:tcPr>
          <w:p w14:paraId="1BCD10FD">
            <w:pPr>
              <w:keepNext w:val="0"/>
              <w:keepLines w:val="0"/>
              <w:widowControl/>
              <w:suppressLineNumbers w:val="0"/>
              <w:spacing w:before="0" w:beforeAutospacing="0" w:after="0" w:afterAutospacing="0"/>
              <w:ind w:left="0" w:right="0"/>
              <w:jc w:val="left"/>
              <w:rPr>
                <w:rFonts w:hint="eastAsia" w:ascii="宋体" w:hAnsi="宋体" w:cs="宋体"/>
                <w:kern w:val="0"/>
                <w:sz w:val="18"/>
                <w:szCs w:val="18"/>
              </w:rPr>
            </w:pPr>
            <w:r>
              <w:rPr>
                <w:rFonts w:hint="eastAsia" w:ascii="宋体" w:hAnsi="宋体" w:cs="宋体"/>
                <w:kern w:val="0"/>
                <w:sz w:val="18"/>
                <w:szCs w:val="18"/>
              </w:rPr>
              <w:t>50≤X＜300</w:t>
            </w:r>
          </w:p>
        </w:tc>
        <w:tc>
          <w:tcPr>
            <w:tcW w:w="1549" w:type="dxa"/>
            <w:tcBorders>
              <w:top w:val="nil"/>
              <w:left w:val="nil"/>
              <w:bottom w:val="single" w:color="auto" w:sz="4" w:space="0"/>
              <w:right w:val="single" w:color="auto" w:sz="4" w:space="0"/>
            </w:tcBorders>
            <w:noWrap w:val="0"/>
            <w:vAlign w:val="center"/>
          </w:tcPr>
          <w:p w14:paraId="70BC1772">
            <w:pPr>
              <w:keepNext w:val="0"/>
              <w:keepLines w:val="0"/>
              <w:widowControl/>
              <w:suppressLineNumbers w:val="0"/>
              <w:spacing w:before="0" w:beforeAutospacing="0" w:after="0" w:afterAutospacing="0"/>
              <w:ind w:left="0" w:right="0"/>
              <w:jc w:val="left"/>
              <w:rPr>
                <w:rFonts w:hint="eastAsia" w:ascii="宋体" w:hAnsi="宋体" w:cs="宋体"/>
                <w:kern w:val="0"/>
                <w:sz w:val="18"/>
                <w:szCs w:val="18"/>
              </w:rPr>
            </w:pPr>
            <w:r>
              <w:rPr>
                <w:rFonts w:hint="eastAsia" w:ascii="宋体" w:hAnsi="宋体" w:cs="宋体"/>
                <w:kern w:val="0"/>
                <w:sz w:val="18"/>
                <w:szCs w:val="18"/>
              </w:rPr>
              <w:t>10≤X＜50</w:t>
            </w:r>
          </w:p>
        </w:tc>
        <w:tc>
          <w:tcPr>
            <w:tcW w:w="996" w:type="dxa"/>
            <w:tcBorders>
              <w:top w:val="nil"/>
              <w:left w:val="nil"/>
              <w:bottom w:val="single" w:color="auto" w:sz="4" w:space="0"/>
              <w:right w:val="single" w:color="auto" w:sz="4" w:space="0"/>
            </w:tcBorders>
            <w:noWrap w:val="0"/>
            <w:vAlign w:val="center"/>
          </w:tcPr>
          <w:p w14:paraId="7140BCDA">
            <w:pPr>
              <w:keepNext w:val="0"/>
              <w:keepLines w:val="0"/>
              <w:widowControl/>
              <w:suppressLineNumbers w:val="0"/>
              <w:spacing w:before="0" w:beforeAutospacing="0" w:after="0" w:afterAutospacing="0"/>
              <w:ind w:left="0" w:right="0"/>
              <w:jc w:val="left"/>
              <w:rPr>
                <w:rFonts w:hint="eastAsia" w:ascii="宋体" w:hAnsi="宋体" w:cs="宋体"/>
                <w:kern w:val="0"/>
                <w:sz w:val="18"/>
                <w:szCs w:val="18"/>
              </w:rPr>
            </w:pPr>
            <w:r>
              <w:rPr>
                <w:rFonts w:hint="eastAsia" w:ascii="宋体" w:hAnsi="宋体" w:cs="宋体"/>
                <w:kern w:val="0"/>
                <w:sz w:val="18"/>
                <w:szCs w:val="18"/>
              </w:rPr>
              <w:t>X＜10</w:t>
            </w:r>
          </w:p>
        </w:tc>
      </w:tr>
      <w:tr w14:paraId="4668BA3B">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noWrap w:val="0"/>
            <w:vAlign w:val="center"/>
          </w:tcPr>
          <w:p w14:paraId="7CE35459">
            <w:pPr>
              <w:keepNext w:val="0"/>
              <w:keepLines w:val="0"/>
              <w:widowControl/>
              <w:suppressLineNumbers w:val="0"/>
              <w:spacing w:before="0" w:beforeAutospacing="0" w:after="0" w:afterAutospacing="0"/>
              <w:ind w:left="0" w:right="0"/>
              <w:jc w:val="left"/>
              <w:rPr>
                <w:rFonts w:hint="default" w:ascii="宋体" w:hAnsi="宋体" w:cs="宋体"/>
                <w:b/>
                <w:bCs/>
                <w:kern w:val="0"/>
                <w:sz w:val="18"/>
                <w:szCs w:val="18"/>
              </w:rPr>
            </w:pPr>
          </w:p>
        </w:tc>
        <w:tc>
          <w:tcPr>
            <w:tcW w:w="1489" w:type="dxa"/>
            <w:tcBorders>
              <w:top w:val="nil"/>
              <w:left w:val="nil"/>
              <w:bottom w:val="single" w:color="auto" w:sz="4" w:space="0"/>
              <w:right w:val="single" w:color="auto" w:sz="4" w:space="0"/>
            </w:tcBorders>
            <w:noWrap w:val="0"/>
            <w:vAlign w:val="center"/>
          </w:tcPr>
          <w:p w14:paraId="74EC11C9">
            <w:pPr>
              <w:keepNext w:val="0"/>
              <w:keepLines w:val="0"/>
              <w:widowControl/>
              <w:suppressLineNumbers w:val="0"/>
              <w:spacing w:before="0" w:beforeAutospacing="0" w:after="0" w:afterAutospacing="0"/>
              <w:ind w:left="0" w:right="0"/>
              <w:jc w:val="left"/>
              <w:rPr>
                <w:rFonts w:hint="eastAsia" w:ascii="宋体" w:hAnsi="宋体" w:cs="宋体"/>
                <w:kern w:val="0"/>
                <w:sz w:val="18"/>
                <w:szCs w:val="18"/>
              </w:rPr>
            </w:pPr>
            <w:r>
              <w:rPr>
                <w:rFonts w:hint="eastAsia" w:ascii="宋体" w:hAnsi="宋体" w:cs="宋体"/>
                <w:kern w:val="0"/>
                <w:sz w:val="18"/>
                <w:szCs w:val="18"/>
              </w:rPr>
              <w:t>营业收入（Y）</w:t>
            </w:r>
          </w:p>
        </w:tc>
        <w:tc>
          <w:tcPr>
            <w:tcW w:w="983" w:type="dxa"/>
            <w:tcBorders>
              <w:top w:val="nil"/>
              <w:left w:val="nil"/>
              <w:bottom w:val="single" w:color="auto" w:sz="4" w:space="0"/>
              <w:right w:val="single" w:color="auto" w:sz="4" w:space="0"/>
            </w:tcBorders>
            <w:noWrap w:val="0"/>
            <w:vAlign w:val="center"/>
          </w:tcPr>
          <w:p w14:paraId="1D88AA52">
            <w:pPr>
              <w:keepNext w:val="0"/>
              <w:keepLines w:val="0"/>
              <w:widowControl/>
              <w:suppressLineNumbers w:val="0"/>
              <w:spacing w:before="0" w:beforeAutospacing="0" w:after="0" w:afterAutospacing="0"/>
              <w:ind w:left="0" w:right="0"/>
              <w:jc w:val="left"/>
              <w:rPr>
                <w:rFonts w:hint="eastAsia" w:ascii="宋体" w:hAnsi="宋体" w:cs="宋体"/>
                <w:kern w:val="0"/>
                <w:sz w:val="18"/>
                <w:szCs w:val="18"/>
              </w:rPr>
            </w:pPr>
            <w:r>
              <w:rPr>
                <w:rFonts w:hint="eastAsia" w:ascii="宋体" w:hAnsi="宋体" w:cs="宋体"/>
                <w:kern w:val="0"/>
                <w:sz w:val="18"/>
                <w:szCs w:val="18"/>
              </w:rPr>
              <w:t>万元</w:t>
            </w:r>
          </w:p>
        </w:tc>
        <w:tc>
          <w:tcPr>
            <w:tcW w:w="1743" w:type="dxa"/>
            <w:tcBorders>
              <w:top w:val="nil"/>
              <w:left w:val="nil"/>
              <w:bottom w:val="single" w:color="auto" w:sz="4" w:space="0"/>
              <w:right w:val="single" w:color="auto" w:sz="4" w:space="0"/>
            </w:tcBorders>
            <w:noWrap w:val="0"/>
            <w:vAlign w:val="center"/>
          </w:tcPr>
          <w:p w14:paraId="58315B77">
            <w:pPr>
              <w:keepNext w:val="0"/>
              <w:keepLines w:val="0"/>
              <w:widowControl/>
              <w:suppressLineNumbers w:val="0"/>
              <w:spacing w:before="0" w:beforeAutospacing="0" w:after="0" w:afterAutospacing="0"/>
              <w:ind w:left="0" w:right="0"/>
              <w:jc w:val="left"/>
              <w:rPr>
                <w:rFonts w:hint="eastAsia" w:ascii="宋体" w:hAnsi="宋体" w:cs="宋体"/>
                <w:kern w:val="0"/>
                <w:sz w:val="18"/>
                <w:szCs w:val="18"/>
              </w:rPr>
            </w:pPr>
            <w:r>
              <w:rPr>
                <w:rFonts w:hint="eastAsia" w:ascii="宋体" w:hAnsi="宋体" w:cs="宋体"/>
                <w:kern w:val="0"/>
                <w:sz w:val="18"/>
                <w:szCs w:val="18"/>
              </w:rPr>
              <w:t>500≤Y＜20000</w:t>
            </w:r>
          </w:p>
        </w:tc>
        <w:tc>
          <w:tcPr>
            <w:tcW w:w="1549" w:type="dxa"/>
            <w:tcBorders>
              <w:top w:val="nil"/>
              <w:left w:val="nil"/>
              <w:bottom w:val="single" w:color="auto" w:sz="4" w:space="0"/>
              <w:right w:val="single" w:color="auto" w:sz="4" w:space="0"/>
            </w:tcBorders>
            <w:noWrap w:val="0"/>
            <w:vAlign w:val="center"/>
          </w:tcPr>
          <w:p w14:paraId="735BE077">
            <w:pPr>
              <w:keepNext w:val="0"/>
              <w:keepLines w:val="0"/>
              <w:widowControl/>
              <w:suppressLineNumbers w:val="0"/>
              <w:spacing w:before="0" w:beforeAutospacing="0" w:after="0" w:afterAutospacing="0"/>
              <w:ind w:left="0" w:right="0"/>
              <w:jc w:val="left"/>
              <w:rPr>
                <w:rFonts w:hint="eastAsia" w:ascii="宋体" w:hAnsi="宋体" w:cs="宋体"/>
                <w:kern w:val="0"/>
                <w:sz w:val="18"/>
                <w:szCs w:val="18"/>
              </w:rPr>
            </w:pPr>
            <w:r>
              <w:rPr>
                <w:rFonts w:hint="eastAsia" w:ascii="宋体" w:hAnsi="宋体" w:cs="宋体"/>
                <w:kern w:val="0"/>
                <w:sz w:val="18"/>
                <w:szCs w:val="18"/>
              </w:rPr>
              <w:t>100≤Y＜500</w:t>
            </w:r>
          </w:p>
        </w:tc>
        <w:tc>
          <w:tcPr>
            <w:tcW w:w="996" w:type="dxa"/>
            <w:tcBorders>
              <w:top w:val="nil"/>
              <w:left w:val="nil"/>
              <w:bottom w:val="single" w:color="auto" w:sz="4" w:space="0"/>
              <w:right w:val="single" w:color="auto" w:sz="4" w:space="0"/>
            </w:tcBorders>
            <w:noWrap w:val="0"/>
            <w:vAlign w:val="center"/>
          </w:tcPr>
          <w:p w14:paraId="5FD8907B">
            <w:pPr>
              <w:keepNext w:val="0"/>
              <w:keepLines w:val="0"/>
              <w:widowControl/>
              <w:suppressLineNumbers w:val="0"/>
              <w:spacing w:before="0" w:beforeAutospacing="0" w:after="0" w:afterAutospacing="0"/>
              <w:ind w:left="0" w:right="0"/>
              <w:jc w:val="left"/>
              <w:rPr>
                <w:rFonts w:hint="eastAsia" w:ascii="宋体" w:hAnsi="宋体" w:cs="宋体"/>
                <w:kern w:val="0"/>
                <w:sz w:val="18"/>
                <w:szCs w:val="18"/>
              </w:rPr>
            </w:pPr>
            <w:r>
              <w:rPr>
                <w:rFonts w:hint="eastAsia" w:ascii="宋体" w:hAnsi="宋体" w:cs="宋体"/>
                <w:kern w:val="0"/>
                <w:sz w:val="18"/>
                <w:szCs w:val="18"/>
              </w:rPr>
              <w:t>Y＜100</w:t>
            </w:r>
          </w:p>
        </w:tc>
      </w:tr>
      <w:tr w14:paraId="4C5D8EE0">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noWrap w:val="0"/>
            <w:vAlign w:val="bottom"/>
          </w:tcPr>
          <w:p w14:paraId="3CBDB800">
            <w:pPr>
              <w:keepNext w:val="0"/>
              <w:keepLines w:val="0"/>
              <w:widowControl/>
              <w:suppressLineNumbers w:val="0"/>
              <w:spacing w:before="0" w:beforeAutospacing="0" w:after="0" w:afterAutospacing="0"/>
              <w:ind w:left="0" w:right="0"/>
              <w:jc w:val="center"/>
              <w:rPr>
                <w:rFonts w:hint="eastAsia" w:ascii="宋体" w:hAnsi="宋体" w:cs="宋体"/>
                <w:b/>
                <w:bCs/>
                <w:kern w:val="0"/>
                <w:sz w:val="18"/>
                <w:szCs w:val="18"/>
              </w:rPr>
            </w:pPr>
            <w:r>
              <w:rPr>
                <w:rFonts w:hint="eastAsia" w:ascii="宋体" w:hAnsi="宋体" w:cs="宋体"/>
                <w:b/>
                <w:bCs/>
                <w:kern w:val="0"/>
                <w:sz w:val="18"/>
                <w:szCs w:val="18"/>
              </w:rPr>
              <w:t>交通运输业</w:t>
            </w:r>
          </w:p>
        </w:tc>
        <w:tc>
          <w:tcPr>
            <w:tcW w:w="1489" w:type="dxa"/>
            <w:tcBorders>
              <w:top w:val="nil"/>
              <w:left w:val="nil"/>
              <w:bottom w:val="single" w:color="auto" w:sz="4" w:space="0"/>
              <w:right w:val="single" w:color="auto" w:sz="4" w:space="0"/>
            </w:tcBorders>
            <w:noWrap w:val="0"/>
            <w:vAlign w:val="center"/>
          </w:tcPr>
          <w:p w14:paraId="33B89951">
            <w:pPr>
              <w:keepNext w:val="0"/>
              <w:keepLines w:val="0"/>
              <w:widowControl/>
              <w:suppressLineNumbers w:val="0"/>
              <w:spacing w:before="0" w:beforeAutospacing="0" w:after="0" w:afterAutospacing="0"/>
              <w:ind w:left="0" w:right="0"/>
              <w:jc w:val="left"/>
              <w:rPr>
                <w:rFonts w:hint="eastAsia" w:ascii="宋体" w:hAnsi="宋体" w:cs="宋体"/>
                <w:kern w:val="0"/>
                <w:sz w:val="18"/>
                <w:szCs w:val="18"/>
              </w:rPr>
            </w:pPr>
            <w:r>
              <w:rPr>
                <w:rFonts w:hint="eastAsia" w:ascii="宋体" w:hAnsi="宋体" w:cs="宋体"/>
                <w:kern w:val="0"/>
                <w:sz w:val="18"/>
                <w:szCs w:val="18"/>
              </w:rPr>
              <w:t>从业人员（X）</w:t>
            </w:r>
          </w:p>
        </w:tc>
        <w:tc>
          <w:tcPr>
            <w:tcW w:w="983" w:type="dxa"/>
            <w:tcBorders>
              <w:top w:val="nil"/>
              <w:left w:val="nil"/>
              <w:bottom w:val="single" w:color="auto" w:sz="4" w:space="0"/>
              <w:right w:val="single" w:color="auto" w:sz="4" w:space="0"/>
            </w:tcBorders>
            <w:noWrap w:val="0"/>
            <w:vAlign w:val="center"/>
          </w:tcPr>
          <w:p w14:paraId="6EF3BB85">
            <w:pPr>
              <w:keepNext w:val="0"/>
              <w:keepLines w:val="0"/>
              <w:widowControl/>
              <w:suppressLineNumbers w:val="0"/>
              <w:spacing w:before="0" w:beforeAutospacing="0" w:after="0" w:afterAutospacing="0"/>
              <w:ind w:left="0" w:right="0"/>
              <w:jc w:val="left"/>
              <w:rPr>
                <w:rFonts w:hint="eastAsia" w:ascii="宋体" w:hAnsi="宋体" w:cs="宋体"/>
                <w:kern w:val="0"/>
                <w:sz w:val="18"/>
                <w:szCs w:val="18"/>
              </w:rPr>
            </w:pPr>
            <w:r>
              <w:rPr>
                <w:rFonts w:hint="eastAsia" w:ascii="宋体" w:hAnsi="宋体" w:cs="宋体"/>
                <w:kern w:val="0"/>
                <w:sz w:val="18"/>
                <w:szCs w:val="18"/>
              </w:rPr>
              <w:t>人</w:t>
            </w:r>
          </w:p>
        </w:tc>
        <w:tc>
          <w:tcPr>
            <w:tcW w:w="1743" w:type="dxa"/>
            <w:tcBorders>
              <w:top w:val="nil"/>
              <w:left w:val="nil"/>
              <w:bottom w:val="single" w:color="auto" w:sz="4" w:space="0"/>
              <w:right w:val="single" w:color="auto" w:sz="4" w:space="0"/>
            </w:tcBorders>
            <w:noWrap w:val="0"/>
            <w:vAlign w:val="center"/>
          </w:tcPr>
          <w:p w14:paraId="2E7CED62">
            <w:pPr>
              <w:keepNext w:val="0"/>
              <w:keepLines w:val="0"/>
              <w:widowControl/>
              <w:suppressLineNumbers w:val="0"/>
              <w:spacing w:before="0" w:beforeAutospacing="0" w:after="0" w:afterAutospacing="0"/>
              <w:ind w:left="0" w:right="0"/>
              <w:jc w:val="left"/>
              <w:rPr>
                <w:rFonts w:hint="eastAsia" w:ascii="宋体" w:hAnsi="宋体" w:cs="宋体"/>
                <w:kern w:val="0"/>
                <w:sz w:val="18"/>
                <w:szCs w:val="18"/>
              </w:rPr>
            </w:pPr>
            <w:r>
              <w:rPr>
                <w:rFonts w:hint="eastAsia" w:ascii="宋体" w:hAnsi="宋体" w:cs="宋体"/>
                <w:kern w:val="0"/>
                <w:sz w:val="18"/>
                <w:szCs w:val="18"/>
              </w:rPr>
              <w:t>300≤X＜1000</w:t>
            </w:r>
          </w:p>
        </w:tc>
        <w:tc>
          <w:tcPr>
            <w:tcW w:w="1549" w:type="dxa"/>
            <w:tcBorders>
              <w:top w:val="nil"/>
              <w:left w:val="nil"/>
              <w:bottom w:val="single" w:color="auto" w:sz="4" w:space="0"/>
              <w:right w:val="single" w:color="auto" w:sz="4" w:space="0"/>
            </w:tcBorders>
            <w:noWrap w:val="0"/>
            <w:vAlign w:val="center"/>
          </w:tcPr>
          <w:p w14:paraId="3C0E7566">
            <w:pPr>
              <w:keepNext w:val="0"/>
              <w:keepLines w:val="0"/>
              <w:widowControl/>
              <w:suppressLineNumbers w:val="0"/>
              <w:spacing w:before="0" w:beforeAutospacing="0" w:after="0" w:afterAutospacing="0"/>
              <w:ind w:left="0" w:right="0"/>
              <w:jc w:val="left"/>
              <w:rPr>
                <w:rFonts w:hint="eastAsia" w:ascii="宋体" w:hAnsi="宋体" w:cs="宋体"/>
                <w:kern w:val="0"/>
                <w:sz w:val="18"/>
                <w:szCs w:val="18"/>
              </w:rPr>
            </w:pPr>
            <w:r>
              <w:rPr>
                <w:rFonts w:hint="eastAsia" w:ascii="宋体" w:hAnsi="宋体" w:cs="宋体"/>
                <w:kern w:val="0"/>
                <w:sz w:val="18"/>
                <w:szCs w:val="18"/>
              </w:rPr>
              <w:t>20≤X＜300</w:t>
            </w:r>
          </w:p>
        </w:tc>
        <w:tc>
          <w:tcPr>
            <w:tcW w:w="996" w:type="dxa"/>
            <w:tcBorders>
              <w:top w:val="nil"/>
              <w:left w:val="nil"/>
              <w:bottom w:val="single" w:color="auto" w:sz="4" w:space="0"/>
              <w:right w:val="single" w:color="auto" w:sz="4" w:space="0"/>
            </w:tcBorders>
            <w:noWrap w:val="0"/>
            <w:vAlign w:val="center"/>
          </w:tcPr>
          <w:p w14:paraId="6F55E6EC">
            <w:pPr>
              <w:keepNext w:val="0"/>
              <w:keepLines w:val="0"/>
              <w:widowControl/>
              <w:suppressLineNumbers w:val="0"/>
              <w:spacing w:before="0" w:beforeAutospacing="0" w:after="0" w:afterAutospacing="0"/>
              <w:ind w:left="0" w:right="0"/>
              <w:jc w:val="left"/>
              <w:rPr>
                <w:rFonts w:hint="eastAsia" w:ascii="宋体" w:hAnsi="宋体" w:cs="宋体"/>
                <w:kern w:val="0"/>
                <w:sz w:val="18"/>
                <w:szCs w:val="18"/>
              </w:rPr>
            </w:pPr>
            <w:r>
              <w:rPr>
                <w:rFonts w:hint="eastAsia" w:ascii="宋体" w:hAnsi="宋体" w:cs="宋体"/>
                <w:kern w:val="0"/>
                <w:sz w:val="18"/>
                <w:szCs w:val="18"/>
              </w:rPr>
              <w:t>X＜20</w:t>
            </w:r>
          </w:p>
        </w:tc>
      </w:tr>
      <w:tr w14:paraId="143D9B91">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noWrap w:val="0"/>
            <w:vAlign w:val="center"/>
          </w:tcPr>
          <w:p w14:paraId="1552A6B5">
            <w:pPr>
              <w:keepNext w:val="0"/>
              <w:keepLines w:val="0"/>
              <w:widowControl/>
              <w:suppressLineNumbers w:val="0"/>
              <w:spacing w:before="0" w:beforeAutospacing="0" w:after="0" w:afterAutospacing="0"/>
              <w:ind w:left="0" w:right="0"/>
              <w:jc w:val="left"/>
              <w:rPr>
                <w:rFonts w:hint="default" w:ascii="宋体" w:hAnsi="宋体" w:cs="宋体"/>
                <w:b/>
                <w:bCs/>
                <w:kern w:val="0"/>
                <w:sz w:val="18"/>
                <w:szCs w:val="18"/>
              </w:rPr>
            </w:pPr>
          </w:p>
        </w:tc>
        <w:tc>
          <w:tcPr>
            <w:tcW w:w="1489" w:type="dxa"/>
            <w:tcBorders>
              <w:top w:val="nil"/>
              <w:left w:val="nil"/>
              <w:bottom w:val="single" w:color="auto" w:sz="4" w:space="0"/>
              <w:right w:val="single" w:color="auto" w:sz="4" w:space="0"/>
            </w:tcBorders>
            <w:noWrap w:val="0"/>
            <w:vAlign w:val="center"/>
          </w:tcPr>
          <w:p w14:paraId="2DB35410">
            <w:pPr>
              <w:keepNext w:val="0"/>
              <w:keepLines w:val="0"/>
              <w:widowControl/>
              <w:suppressLineNumbers w:val="0"/>
              <w:spacing w:before="0" w:beforeAutospacing="0" w:after="0" w:afterAutospacing="0"/>
              <w:ind w:left="0" w:right="0"/>
              <w:jc w:val="left"/>
              <w:rPr>
                <w:rFonts w:hint="eastAsia" w:ascii="宋体" w:hAnsi="宋体" w:cs="宋体"/>
                <w:kern w:val="0"/>
                <w:sz w:val="18"/>
                <w:szCs w:val="18"/>
              </w:rPr>
            </w:pPr>
            <w:r>
              <w:rPr>
                <w:rFonts w:hint="eastAsia" w:ascii="宋体" w:hAnsi="宋体" w:cs="宋体"/>
                <w:kern w:val="0"/>
                <w:sz w:val="18"/>
                <w:szCs w:val="18"/>
              </w:rPr>
              <w:t>营业收入（Y）</w:t>
            </w:r>
          </w:p>
        </w:tc>
        <w:tc>
          <w:tcPr>
            <w:tcW w:w="983" w:type="dxa"/>
            <w:tcBorders>
              <w:top w:val="nil"/>
              <w:left w:val="nil"/>
              <w:bottom w:val="single" w:color="auto" w:sz="4" w:space="0"/>
              <w:right w:val="single" w:color="auto" w:sz="4" w:space="0"/>
            </w:tcBorders>
            <w:noWrap w:val="0"/>
            <w:vAlign w:val="center"/>
          </w:tcPr>
          <w:p w14:paraId="32B80B3E">
            <w:pPr>
              <w:keepNext w:val="0"/>
              <w:keepLines w:val="0"/>
              <w:widowControl/>
              <w:suppressLineNumbers w:val="0"/>
              <w:spacing w:before="0" w:beforeAutospacing="0" w:after="0" w:afterAutospacing="0"/>
              <w:ind w:left="0" w:right="0"/>
              <w:jc w:val="left"/>
              <w:rPr>
                <w:rFonts w:hint="eastAsia" w:ascii="宋体" w:hAnsi="宋体" w:cs="宋体"/>
                <w:kern w:val="0"/>
                <w:sz w:val="18"/>
                <w:szCs w:val="18"/>
              </w:rPr>
            </w:pPr>
            <w:r>
              <w:rPr>
                <w:rFonts w:hint="eastAsia" w:ascii="宋体" w:hAnsi="宋体" w:cs="宋体"/>
                <w:kern w:val="0"/>
                <w:sz w:val="18"/>
                <w:szCs w:val="18"/>
              </w:rPr>
              <w:t>万元</w:t>
            </w:r>
          </w:p>
        </w:tc>
        <w:tc>
          <w:tcPr>
            <w:tcW w:w="1743" w:type="dxa"/>
            <w:tcBorders>
              <w:top w:val="nil"/>
              <w:left w:val="nil"/>
              <w:bottom w:val="single" w:color="auto" w:sz="4" w:space="0"/>
              <w:right w:val="single" w:color="auto" w:sz="4" w:space="0"/>
            </w:tcBorders>
            <w:noWrap w:val="0"/>
            <w:vAlign w:val="center"/>
          </w:tcPr>
          <w:p w14:paraId="4F2C7710">
            <w:pPr>
              <w:keepNext w:val="0"/>
              <w:keepLines w:val="0"/>
              <w:widowControl/>
              <w:suppressLineNumbers w:val="0"/>
              <w:spacing w:before="0" w:beforeAutospacing="0" w:after="0" w:afterAutospacing="0"/>
              <w:ind w:left="0" w:right="0"/>
              <w:jc w:val="left"/>
              <w:rPr>
                <w:rFonts w:hint="eastAsia" w:ascii="宋体" w:hAnsi="宋体" w:cs="宋体"/>
                <w:kern w:val="0"/>
                <w:sz w:val="18"/>
                <w:szCs w:val="18"/>
              </w:rPr>
            </w:pPr>
            <w:r>
              <w:rPr>
                <w:rFonts w:hint="eastAsia" w:ascii="宋体" w:hAnsi="宋体" w:cs="宋体"/>
                <w:kern w:val="0"/>
                <w:sz w:val="18"/>
                <w:szCs w:val="18"/>
              </w:rPr>
              <w:t>3000≤Y＜30000</w:t>
            </w:r>
          </w:p>
        </w:tc>
        <w:tc>
          <w:tcPr>
            <w:tcW w:w="1549" w:type="dxa"/>
            <w:tcBorders>
              <w:top w:val="nil"/>
              <w:left w:val="nil"/>
              <w:bottom w:val="single" w:color="auto" w:sz="4" w:space="0"/>
              <w:right w:val="single" w:color="auto" w:sz="4" w:space="0"/>
            </w:tcBorders>
            <w:noWrap w:val="0"/>
            <w:vAlign w:val="center"/>
          </w:tcPr>
          <w:p w14:paraId="49E9A1A1">
            <w:pPr>
              <w:keepNext w:val="0"/>
              <w:keepLines w:val="0"/>
              <w:widowControl/>
              <w:suppressLineNumbers w:val="0"/>
              <w:spacing w:before="0" w:beforeAutospacing="0" w:after="0" w:afterAutospacing="0"/>
              <w:ind w:left="0" w:right="0"/>
              <w:jc w:val="left"/>
              <w:rPr>
                <w:rFonts w:hint="eastAsia" w:ascii="宋体" w:hAnsi="宋体" w:cs="宋体"/>
                <w:kern w:val="0"/>
                <w:sz w:val="18"/>
                <w:szCs w:val="18"/>
              </w:rPr>
            </w:pPr>
            <w:r>
              <w:rPr>
                <w:rFonts w:hint="eastAsia" w:ascii="宋体" w:hAnsi="宋体" w:cs="宋体"/>
                <w:kern w:val="0"/>
                <w:sz w:val="18"/>
                <w:szCs w:val="18"/>
              </w:rPr>
              <w:t>200≤Y＜3000</w:t>
            </w:r>
          </w:p>
        </w:tc>
        <w:tc>
          <w:tcPr>
            <w:tcW w:w="996" w:type="dxa"/>
            <w:tcBorders>
              <w:top w:val="nil"/>
              <w:left w:val="nil"/>
              <w:bottom w:val="single" w:color="auto" w:sz="4" w:space="0"/>
              <w:right w:val="single" w:color="auto" w:sz="4" w:space="0"/>
            </w:tcBorders>
            <w:noWrap w:val="0"/>
            <w:vAlign w:val="center"/>
          </w:tcPr>
          <w:p w14:paraId="722E7148">
            <w:pPr>
              <w:keepNext w:val="0"/>
              <w:keepLines w:val="0"/>
              <w:widowControl/>
              <w:suppressLineNumbers w:val="0"/>
              <w:spacing w:before="0" w:beforeAutospacing="0" w:after="0" w:afterAutospacing="0"/>
              <w:ind w:left="0" w:right="0"/>
              <w:jc w:val="left"/>
              <w:rPr>
                <w:rFonts w:hint="eastAsia" w:ascii="宋体" w:hAnsi="宋体" w:cs="宋体"/>
                <w:kern w:val="0"/>
                <w:sz w:val="18"/>
                <w:szCs w:val="18"/>
              </w:rPr>
            </w:pPr>
            <w:r>
              <w:rPr>
                <w:rFonts w:hint="eastAsia" w:ascii="宋体" w:hAnsi="宋体" w:cs="宋体"/>
                <w:kern w:val="0"/>
                <w:sz w:val="18"/>
                <w:szCs w:val="18"/>
              </w:rPr>
              <w:t>Y＜200</w:t>
            </w:r>
          </w:p>
        </w:tc>
      </w:tr>
      <w:tr w14:paraId="2F031A4A">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noWrap w:val="0"/>
            <w:vAlign w:val="bottom"/>
          </w:tcPr>
          <w:p w14:paraId="681A83A2">
            <w:pPr>
              <w:keepNext w:val="0"/>
              <w:keepLines w:val="0"/>
              <w:widowControl/>
              <w:suppressLineNumbers w:val="0"/>
              <w:spacing w:before="0" w:beforeAutospacing="0" w:after="0" w:afterAutospacing="0"/>
              <w:ind w:left="0" w:right="0"/>
              <w:jc w:val="center"/>
              <w:rPr>
                <w:rFonts w:hint="eastAsia" w:ascii="宋体" w:hAnsi="宋体" w:cs="宋体"/>
                <w:b/>
                <w:bCs/>
                <w:kern w:val="0"/>
                <w:sz w:val="18"/>
                <w:szCs w:val="18"/>
              </w:rPr>
            </w:pPr>
            <w:r>
              <w:rPr>
                <w:rFonts w:hint="eastAsia" w:ascii="宋体" w:hAnsi="宋体" w:cs="宋体"/>
                <w:b/>
                <w:bCs/>
                <w:kern w:val="0"/>
                <w:sz w:val="18"/>
                <w:szCs w:val="18"/>
              </w:rPr>
              <w:t>仓储业</w:t>
            </w:r>
          </w:p>
        </w:tc>
        <w:tc>
          <w:tcPr>
            <w:tcW w:w="1489" w:type="dxa"/>
            <w:tcBorders>
              <w:top w:val="nil"/>
              <w:left w:val="nil"/>
              <w:bottom w:val="single" w:color="auto" w:sz="4" w:space="0"/>
              <w:right w:val="single" w:color="auto" w:sz="4" w:space="0"/>
            </w:tcBorders>
            <w:noWrap w:val="0"/>
            <w:vAlign w:val="center"/>
          </w:tcPr>
          <w:p w14:paraId="77AFA957">
            <w:pPr>
              <w:keepNext w:val="0"/>
              <w:keepLines w:val="0"/>
              <w:widowControl/>
              <w:suppressLineNumbers w:val="0"/>
              <w:spacing w:before="0" w:beforeAutospacing="0" w:after="0" w:afterAutospacing="0"/>
              <w:ind w:left="0" w:right="0"/>
              <w:jc w:val="left"/>
              <w:rPr>
                <w:rFonts w:hint="eastAsia" w:ascii="宋体" w:hAnsi="宋体" w:cs="宋体"/>
                <w:kern w:val="0"/>
                <w:sz w:val="18"/>
                <w:szCs w:val="18"/>
              </w:rPr>
            </w:pPr>
            <w:r>
              <w:rPr>
                <w:rFonts w:hint="eastAsia" w:ascii="宋体" w:hAnsi="宋体" w:cs="宋体"/>
                <w:kern w:val="0"/>
                <w:sz w:val="18"/>
                <w:szCs w:val="18"/>
              </w:rPr>
              <w:t>从业人员（X）</w:t>
            </w:r>
          </w:p>
        </w:tc>
        <w:tc>
          <w:tcPr>
            <w:tcW w:w="983" w:type="dxa"/>
            <w:tcBorders>
              <w:top w:val="nil"/>
              <w:left w:val="nil"/>
              <w:bottom w:val="single" w:color="auto" w:sz="4" w:space="0"/>
              <w:right w:val="single" w:color="auto" w:sz="4" w:space="0"/>
            </w:tcBorders>
            <w:noWrap w:val="0"/>
            <w:vAlign w:val="center"/>
          </w:tcPr>
          <w:p w14:paraId="1D1823F8">
            <w:pPr>
              <w:keepNext w:val="0"/>
              <w:keepLines w:val="0"/>
              <w:widowControl/>
              <w:suppressLineNumbers w:val="0"/>
              <w:spacing w:before="0" w:beforeAutospacing="0" w:after="0" w:afterAutospacing="0"/>
              <w:ind w:left="0" w:right="0"/>
              <w:jc w:val="left"/>
              <w:rPr>
                <w:rFonts w:hint="eastAsia" w:ascii="宋体" w:hAnsi="宋体" w:cs="宋体"/>
                <w:kern w:val="0"/>
                <w:sz w:val="18"/>
                <w:szCs w:val="18"/>
              </w:rPr>
            </w:pPr>
            <w:r>
              <w:rPr>
                <w:rFonts w:hint="eastAsia" w:ascii="宋体" w:hAnsi="宋体" w:cs="宋体"/>
                <w:kern w:val="0"/>
                <w:sz w:val="18"/>
                <w:szCs w:val="18"/>
              </w:rPr>
              <w:t>人</w:t>
            </w:r>
          </w:p>
        </w:tc>
        <w:tc>
          <w:tcPr>
            <w:tcW w:w="1743" w:type="dxa"/>
            <w:tcBorders>
              <w:top w:val="nil"/>
              <w:left w:val="nil"/>
              <w:bottom w:val="single" w:color="auto" w:sz="4" w:space="0"/>
              <w:right w:val="single" w:color="auto" w:sz="4" w:space="0"/>
            </w:tcBorders>
            <w:noWrap w:val="0"/>
            <w:vAlign w:val="center"/>
          </w:tcPr>
          <w:p w14:paraId="17296D5B">
            <w:pPr>
              <w:keepNext w:val="0"/>
              <w:keepLines w:val="0"/>
              <w:widowControl/>
              <w:suppressLineNumbers w:val="0"/>
              <w:spacing w:before="0" w:beforeAutospacing="0" w:after="0" w:afterAutospacing="0"/>
              <w:ind w:left="0" w:right="0"/>
              <w:jc w:val="left"/>
              <w:rPr>
                <w:rFonts w:hint="eastAsia" w:ascii="宋体" w:hAnsi="宋体" w:cs="宋体"/>
                <w:kern w:val="0"/>
                <w:sz w:val="18"/>
                <w:szCs w:val="18"/>
              </w:rPr>
            </w:pPr>
            <w:r>
              <w:rPr>
                <w:rFonts w:hint="eastAsia" w:ascii="宋体" w:hAnsi="宋体" w:cs="宋体"/>
                <w:kern w:val="0"/>
                <w:sz w:val="18"/>
                <w:szCs w:val="18"/>
              </w:rPr>
              <w:t>100≤X＜200</w:t>
            </w:r>
          </w:p>
        </w:tc>
        <w:tc>
          <w:tcPr>
            <w:tcW w:w="1549" w:type="dxa"/>
            <w:tcBorders>
              <w:top w:val="nil"/>
              <w:left w:val="nil"/>
              <w:bottom w:val="single" w:color="auto" w:sz="4" w:space="0"/>
              <w:right w:val="single" w:color="auto" w:sz="4" w:space="0"/>
            </w:tcBorders>
            <w:noWrap w:val="0"/>
            <w:vAlign w:val="center"/>
          </w:tcPr>
          <w:p w14:paraId="6E758DBD">
            <w:pPr>
              <w:keepNext w:val="0"/>
              <w:keepLines w:val="0"/>
              <w:widowControl/>
              <w:suppressLineNumbers w:val="0"/>
              <w:spacing w:before="0" w:beforeAutospacing="0" w:after="0" w:afterAutospacing="0"/>
              <w:ind w:left="0" w:right="0"/>
              <w:jc w:val="left"/>
              <w:rPr>
                <w:rFonts w:hint="eastAsia" w:ascii="宋体" w:hAnsi="宋体" w:cs="宋体"/>
                <w:kern w:val="0"/>
                <w:sz w:val="18"/>
                <w:szCs w:val="18"/>
              </w:rPr>
            </w:pPr>
            <w:r>
              <w:rPr>
                <w:rFonts w:hint="eastAsia" w:ascii="宋体" w:hAnsi="宋体" w:cs="宋体"/>
                <w:kern w:val="0"/>
                <w:sz w:val="18"/>
                <w:szCs w:val="18"/>
              </w:rPr>
              <w:t>20≤X＜100</w:t>
            </w:r>
          </w:p>
        </w:tc>
        <w:tc>
          <w:tcPr>
            <w:tcW w:w="996" w:type="dxa"/>
            <w:tcBorders>
              <w:top w:val="nil"/>
              <w:left w:val="nil"/>
              <w:bottom w:val="single" w:color="auto" w:sz="4" w:space="0"/>
              <w:right w:val="single" w:color="auto" w:sz="4" w:space="0"/>
            </w:tcBorders>
            <w:noWrap w:val="0"/>
            <w:vAlign w:val="center"/>
          </w:tcPr>
          <w:p w14:paraId="6284F740">
            <w:pPr>
              <w:keepNext w:val="0"/>
              <w:keepLines w:val="0"/>
              <w:widowControl/>
              <w:suppressLineNumbers w:val="0"/>
              <w:spacing w:before="0" w:beforeAutospacing="0" w:after="0" w:afterAutospacing="0"/>
              <w:ind w:left="0" w:right="0"/>
              <w:jc w:val="left"/>
              <w:rPr>
                <w:rFonts w:hint="eastAsia" w:ascii="宋体" w:hAnsi="宋体" w:cs="宋体"/>
                <w:kern w:val="0"/>
                <w:sz w:val="18"/>
                <w:szCs w:val="18"/>
              </w:rPr>
            </w:pPr>
            <w:r>
              <w:rPr>
                <w:rFonts w:hint="eastAsia" w:ascii="宋体" w:hAnsi="宋体" w:cs="宋体"/>
                <w:kern w:val="0"/>
                <w:sz w:val="18"/>
                <w:szCs w:val="18"/>
              </w:rPr>
              <w:t>X＜20</w:t>
            </w:r>
          </w:p>
        </w:tc>
      </w:tr>
      <w:tr w14:paraId="34369AC4">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noWrap w:val="0"/>
            <w:vAlign w:val="center"/>
          </w:tcPr>
          <w:p w14:paraId="07AF51B4">
            <w:pPr>
              <w:keepNext w:val="0"/>
              <w:keepLines w:val="0"/>
              <w:widowControl/>
              <w:suppressLineNumbers w:val="0"/>
              <w:spacing w:before="0" w:beforeAutospacing="0" w:after="0" w:afterAutospacing="0"/>
              <w:ind w:left="0" w:right="0"/>
              <w:jc w:val="left"/>
              <w:rPr>
                <w:rFonts w:hint="default" w:ascii="宋体" w:hAnsi="宋体" w:cs="宋体"/>
                <w:b/>
                <w:bCs/>
                <w:kern w:val="0"/>
                <w:sz w:val="18"/>
                <w:szCs w:val="18"/>
              </w:rPr>
            </w:pPr>
          </w:p>
        </w:tc>
        <w:tc>
          <w:tcPr>
            <w:tcW w:w="1489" w:type="dxa"/>
            <w:tcBorders>
              <w:top w:val="nil"/>
              <w:left w:val="nil"/>
              <w:bottom w:val="single" w:color="auto" w:sz="4" w:space="0"/>
              <w:right w:val="single" w:color="auto" w:sz="4" w:space="0"/>
            </w:tcBorders>
            <w:noWrap w:val="0"/>
            <w:vAlign w:val="center"/>
          </w:tcPr>
          <w:p w14:paraId="2CA69191">
            <w:pPr>
              <w:keepNext w:val="0"/>
              <w:keepLines w:val="0"/>
              <w:widowControl/>
              <w:suppressLineNumbers w:val="0"/>
              <w:spacing w:before="0" w:beforeAutospacing="0" w:after="0" w:afterAutospacing="0"/>
              <w:ind w:left="0" w:right="0"/>
              <w:jc w:val="left"/>
              <w:rPr>
                <w:rFonts w:hint="eastAsia" w:ascii="宋体" w:hAnsi="宋体" w:cs="宋体"/>
                <w:kern w:val="0"/>
                <w:sz w:val="18"/>
                <w:szCs w:val="18"/>
              </w:rPr>
            </w:pPr>
            <w:r>
              <w:rPr>
                <w:rFonts w:hint="eastAsia" w:ascii="宋体" w:hAnsi="宋体" w:cs="宋体"/>
                <w:kern w:val="0"/>
                <w:sz w:val="18"/>
                <w:szCs w:val="18"/>
              </w:rPr>
              <w:t>营业收入（Y）</w:t>
            </w:r>
          </w:p>
        </w:tc>
        <w:tc>
          <w:tcPr>
            <w:tcW w:w="983" w:type="dxa"/>
            <w:tcBorders>
              <w:top w:val="nil"/>
              <w:left w:val="nil"/>
              <w:bottom w:val="single" w:color="auto" w:sz="4" w:space="0"/>
              <w:right w:val="single" w:color="auto" w:sz="4" w:space="0"/>
            </w:tcBorders>
            <w:noWrap w:val="0"/>
            <w:vAlign w:val="center"/>
          </w:tcPr>
          <w:p w14:paraId="5CFFE04D">
            <w:pPr>
              <w:keepNext w:val="0"/>
              <w:keepLines w:val="0"/>
              <w:widowControl/>
              <w:suppressLineNumbers w:val="0"/>
              <w:spacing w:before="0" w:beforeAutospacing="0" w:after="0" w:afterAutospacing="0"/>
              <w:ind w:left="0" w:right="0"/>
              <w:jc w:val="left"/>
              <w:rPr>
                <w:rFonts w:hint="eastAsia" w:ascii="宋体" w:hAnsi="宋体" w:cs="宋体"/>
                <w:kern w:val="0"/>
                <w:sz w:val="18"/>
                <w:szCs w:val="18"/>
              </w:rPr>
            </w:pPr>
            <w:r>
              <w:rPr>
                <w:rFonts w:hint="eastAsia" w:ascii="宋体" w:hAnsi="宋体" w:cs="宋体"/>
                <w:kern w:val="0"/>
                <w:sz w:val="18"/>
                <w:szCs w:val="18"/>
              </w:rPr>
              <w:t>万元</w:t>
            </w:r>
          </w:p>
        </w:tc>
        <w:tc>
          <w:tcPr>
            <w:tcW w:w="1743" w:type="dxa"/>
            <w:tcBorders>
              <w:top w:val="nil"/>
              <w:left w:val="nil"/>
              <w:bottom w:val="single" w:color="auto" w:sz="4" w:space="0"/>
              <w:right w:val="single" w:color="auto" w:sz="4" w:space="0"/>
            </w:tcBorders>
            <w:noWrap w:val="0"/>
            <w:vAlign w:val="center"/>
          </w:tcPr>
          <w:p w14:paraId="4C6418CD">
            <w:pPr>
              <w:keepNext w:val="0"/>
              <w:keepLines w:val="0"/>
              <w:widowControl/>
              <w:suppressLineNumbers w:val="0"/>
              <w:spacing w:before="0" w:beforeAutospacing="0" w:after="0" w:afterAutospacing="0"/>
              <w:ind w:left="0" w:right="0"/>
              <w:jc w:val="left"/>
              <w:rPr>
                <w:rFonts w:hint="eastAsia" w:ascii="宋体" w:hAnsi="宋体" w:cs="宋体"/>
                <w:kern w:val="0"/>
                <w:sz w:val="18"/>
                <w:szCs w:val="18"/>
              </w:rPr>
            </w:pPr>
            <w:r>
              <w:rPr>
                <w:rFonts w:hint="eastAsia" w:ascii="宋体" w:hAnsi="宋体" w:cs="宋体"/>
                <w:kern w:val="0"/>
                <w:sz w:val="18"/>
                <w:szCs w:val="18"/>
              </w:rPr>
              <w:t>1000≤Y＜30000</w:t>
            </w:r>
          </w:p>
        </w:tc>
        <w:tc>
          <w:tcPr>
            <w:tcW w:w="1549" w:type="dxa"/>
            <w:tcBorders>
              <w:top w:val="nil"/>
              <w:left w:val="nil"/>
              <w:bottom w:val="single" w:color="auto" w:sz="4" w:space="0"/>
              <w:right w:val="single" w:color="auto" w:sz="4" w:space="0"/>
            </w:tcBorders>
            <w:noWrap w:val="0"/>
            <w:vAlign w:val="center"/>
          </w:tcPr>
          <w:p w14:paraId="62899E2A">
            <w:pPr>
              <w:keepNext w:val="0"/>
              <w:keepLines w:val="0"/>
              <w:widowControl/>
              <w:suppressLineNumbers w:val="0"/>
              <w:spacing w:before="0" w:beforeAutospacing="0" w:after="0" w:afterAutospacing="0"/>
              <w:ind w:left="0" w:right="0"/>
              <w:jc w:val="left"/>
              <w:rPr>
                <w:rFonts w:hint="eastAsia" w:ascii="宋体" w:hAnsi="宋体" w:cs="宋体"/>
                <w:kern w:val="0"/>
                <w:sz w:val="18"/>
                <w:szCs w:val="18"/>
              </w:rPr>
            </w:pPr>
            <w:r>
              <w:rPr>
                <w:rFonts w:hint="eastAsia" w:ascii="宋体" w:hAnsi="宋体" w:cs="宋体"/>
                <w:kern w:val="0"/>
                <w:sz w:val="18"/>
                <w:szCs w:val="18"/>
              </w:rPr>
              <w:t>100≤Y＜1000</w:t>
            </w:r>
          </w:p>
        </w:tc>
        <w:tc>
          <w:tcPr>
            <w:tcW w:w="996" w:type="dxa"/>
            <w:tcBorders>
              <w:top w:val="nil"/>
              <w:left w:val="nil"/>
              <w:bottom w:val="single" w:color="auto" w:sz="4" w:space="0"/>
              <w:right w:val="single" w:color="auto" w:sz="4" w:space="0"/>
            </w:tcBorders>
            <w:noWrap w:val="0"/>
            <w:vAlign w:val="center"/>
          </w:tcPr>
          <w:p w14:paraId="38A2C777">
            <w:pPr>
              <w:keepNext w:val="0"/>
              <w:keepLines w:val="0"/>
              <w:widowControl/>
              <w:suppressLineNumbers w:val="0"/>
              <w:spacing w:before="0" w:beforeAutospacing="0" w:after="0" w:afterAutospacing="0"/>
              <w:ind w:left="0" w:right="0"/>
              <w:jc w:val="left"/>
              <w:rPr>
                <w:rFonts w:hint="eastAsia" w:ascii="宋体" w:hAnsi="宋体" w:cs="宋体"/>
                <w:kern w:val="0"/>
                <w:sz w:val="18"/>
                <w:szCs w:val="18"/>
              </w:rPr>
            </w:pPr>
            <w:r>
              <w:rPr>
                <w:rFonts w:hint="eastAsia" w:ascii="宋体" w:hAnsi="宋体" w:cs="宋体"/>
                <w:kern w:val="0"/>
                <w:sz w:val="18"/>
                <w:szCs w:val="18"/>
              </w:rPr>
              <w:t>Y＜100</w:t>
            </w:r>
          </w:p>
        </w:tc>
      </w:tr>
      <w:tr w14:paraId="0BEE930B">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noWrap w:val="0"/>
            <w:vAlign w:val="bottom"/>
          </w:tcPr>
          <w:p w14:paraId="07C4DA70">
            <w:pPr>
              <w:keepNext w:val="0"/>
              <w:keepLines w:val="0"/>
              <w:widowControl/>
              <w:suppressLineNumbers w:val="0"/>
              <w:spacing w:before="0" w:beforeAutospacing="0" w:after="0" w:afterAutospacing="0"/>
              <w:ind w:left="0" w:right="0"/>
              <w:jc w:val="center"/>
              <w:rPr>
                <w:rFonts w:hint="eastAsia" w:ascii="宋体" w:hAnsi="宋体" w:cs="宋体"/>
                <w:b/>
                <w:bCs/>
                <w:kern w:val="0"/>
                <w:sz w:val="18"/>
                <w:szCs w:val="18"/>
              </w:rPr>
            </w:pPr>
            <w:r>
              <w:rPr>
                <w:rFonts w:hint="eastAsia" w:ascii="宋体" w:hAnsi="宋体" w:cs="宋体"/>
                <w:b/>
                <w:bCs/>
                <w:kern w:val="0"/>
                <w:sz w:val="18"/>
                <w:szCs w:val="18"/>
              </w:rPr>
              <w:t>邮政业</w:t>
            </w:r>
          </w:p>
        </w:tc>
        <w:tc>
          <w:tcPr>
            <w:tcW w:w="1489" w:type="dxa"/>
            <w:tcBorders>
              <w:top w:val="nil"/>
              <w:left w:val="nil"/>
              <w:bottom w:val="single" w:color="auto" w:sz="4" w:space="0"/>
              <w:right w:val="single" w:color="auto" w:sz="4" w:space="0"/>
            </w:tcBorders>
            <w:noWrap w:val="0"/>
            <w:vAlign w:val="center"/>
          </w:tcPr>
          <w:p w14:paraId="346C5E5C">
            <w:pPr>
              <w:keepNext w:val="0"/>
              <w:keepLines w:val="0"/>
              <w:widowControl/>
              <w:suppressLineNumbers w:val="0"/>
              <w:spacing w:before="0" w:beforeAutospacing="0" w:after="0" w:afterAutospacing="0"/>
              <w:ind w:left="0" w:right="0"/>
              <w:jc w:val="left"/>
              <w:rPr>
                <w:rFonts w:hint="eastAsia" w:ascii="宋体" w:hAnsi="宋体" w:cs="宋体"/>
                <w:kern w:val="0"/>
                <w:sz w:val="18"/>
                <w:szCs w:val="18"/>
              </w:rPr>
            </w:pPr>
            <w:r>
              <w:rPr>
                <w:rFonts w:hint="eastAsia" w:ascii="宋体" w:hAnsi="宋体" w:cs="宋体"/>
                <w:kern w:val="0"/>
                <w:sz w:val="18"/>
                <w:szCs w:val="18"/>
              </w:rPr>
              <w:t>从业人员（X）</w:t>
            </w:r>
          </w:p>
        </w:tc>
        <w:tc>
          <w:tcPr>
            <w:tcW w:w="983" w:type="dxa"/>
            <w:tcBorders>
              <w:top w:val="nil"/>
              <w:left w:val="nil"/>
              <w:bottom w:val="single" w:color="auto" w:sz="4" w:space="0"/>
              <w:right w:val="single" w:color="auto" w:sz="4" w:space="0"/>
            </w:tcBorders>
            <w:noWrap w:val="0"/>
            <w:vAlign w:val="center"/>
          </w:tcPr>
          <w:p w14:paraId="7369F77B">
            <w:pPr>
              <w:keepNext w:val="0"/>
              <w:keepLines w:val="0"/>
              <w:widowControl/>
              <w:suppressLineNumbers w:val="0"/>
              <w:spacing w:before="0" w:beforeAutospacing="0" w:after="0" w:afterAutospacing="0"/>
              <w:ind w:left="0" w:right="0"/>
              <w:jc w:val="left"/>
              <w:rPr>
                <w:rFonts w:hint="eastAsia" w:ascii="宋体" w:hAnsi="宋体" w:cs="宋体"/>
                <w:kern w:val="0"/>
                <w:sz w:val="18"/>
                <w:szCs w:val="18"/>
              </w:rPr>
            </w:pPr>
            <w:r>
              <w:rPr>
                <w:rFonts w:hint="eastAsia" w:ascii="宋体" w:hAnsi="宋体" w:cs="宋体"/>
                <w:kern w:val="0"/>
                <w:sz w:val="18"/>
                <w:szCs w:val="18"/>
              </w:rPr>
              <w:t>人</w:t>
            </w:r>
          </w:p>
        </w:tc>
        <w:tc>
          <w:tcPr>
            <w:tcW w:w="1743" w:type="dxa"/>
            <w:tcBorders>
              <w:top w:val="nil"/>
              <w:left w:val="nil"/>
              <w:bottom w:val="single" w:color="auto" w:sz="4" w:space="0"/>
              <w:right w:val="single" w:color="auto" w:sz="4" w:space="0"/>
            </w:tcBorders>
            <w:noWrap w:val="0"/>
            <w:vAlign w:val="center"/>
          </w:tcPr>
          <w:p w14:paraId="45431DB2">
            <w:pPr>
              <w:keepNext w:val="0"/>
              <w:keepLines w:val="0"/>
              <w:widowControl/>
              <w:suppressLineNumbers w:val="0"/>
              <w:spacing w:before="0" w:beforeAutospacing="0" w:after="0" w:afterAutospacing="0"/>
              <w:ind w:left="0" w:right="0"/>
              <w:jc w:val="left"/>
              <w:rPr>
                <w:rFonts w:hint="eastAsia" w:ascii="宋体" w:hAnsi="宋体" w:cs="宋体"/>
                <w:kern w:val="0"/>
                <w:sz w:val="18"/>
                <w:szCs w:val="18"/>
              </w:rPr>
            </w:pPr>
            <w:r>
              <w:rPr>
                <w:rFonts w:hint="eastAsia" w:ascii="宋体" w:hAnsi="宋体" w:cs="宋体"/>
                <w:kern w:val="0"/>
                <w:sz w:val="18"/>
                <w:szCs w:val="18"/>
              </w:rPr>
              <w:t>300≤X＜1000</w:t>
            </w:r>
          </w:p>
        </w:tc>
        <w:tc>
          <w:tcPr>
            <w:tcW w:w="1549" w:type="dxa"/>
            <w:tcBorders>
              <w:top w:val="nil"/>
              <w:left w:val="nil"/>
              <w:bottom w:val="single" w:color="auto" w:sz="4" w:space="0"/>
              <w:right w:val="single" w:color="auto" w:sz="4" w:space="0"/>
            </w:tcBorders>
            <w:noWrap w:val="0"/>
            <w:vAlign w:val="center"/>
          </w:tcPr>
          <w:p w14:paraId="7EEDCA12">
            <w:pPr>
              <w:keepNext w:val="0"/>
              <w:keepLines w:val="0"/>
              <w:widowControl/>
              <w:suppressLineNumbers w:val="0"/>
              <w:spacing w:before="0" w:beforeAutospacing="0" w:after="0" w:afterAutospacing="0"/>
              <w:ind w:left="0" w:right="0"/>
              <w:jc w:val="left"/>
              <w:rPr>
                <w:rFonts w:hint="eastAsia" w:ascii="宋体" w:hAnsi="宋体" w:cs="宋体"/>
                <w:kern w:val="0"/>
                <w:sz w:val="18"/>
                <w:szCs w:val="18"/>
              </w:rPr>
            </w:pPr>
            <w:r>
              <w:rPr>
                <w:rFonts w:hint="eastAsia" w:ascii="宋体" w:hAnsi="宋体" w:cs="宋体"/>
                <w:kern w:val="0"/>
                <w:sz w:val="18"/>
                <w:szCs w:val="18"/>
              </w:rPr>
              <w:t>20≤X＜300</w:t>
            </w:r>
          </w:p>
        </w:tc>
        <w:tc>
          <w:tcPr>
            <w:tcW w:w="996" w:type="dxa"/>
            <w:tcBorders>
              <w:top w:val="nil"/>
              <w:left w:val="nil"/>
              <w:bottom w:val="single" w:color="auto" w:sz="4" w:space="0"/>
              <w:right w:val="single" w:color="auto" w:sz="4" w:space="0"/>
            </w:tcBorders>
            <w:noWrap w:val="0"/>
            <w:vAlign w:val="center"/>
          </w:tcPr>
          <w:p w14:paraId="14EA2A9F">
            <w:pPr>
              <w:keepNext w:val="0"/>
              <w:keepLines w:val="0"/>
              <w:widowControl/>
              <w:suppressLineNumbers w:val="0"/>
              <w:spacing w:before="0" w:beforeAutospacing="0" w:after="0" w:afterAutospacing="0"/>
              <w:ind w:left="0" w:right="0"/>
              <w:jc w:val="left"/>
              <w:rPr>
                <w:rFonts w:hint="eastAsia" w:ascii="宋体" w:hAnsi="宋体" w:cs="宋体"/>
                <w:kern w:val="0"/>
                <w:sz w:val="18"/>
                <w:szCs w:val="18"/>
              </w:rPr>
            </w:pPr>
            <w:r>
              <w:rPr>
                <w:rFonts w:hint="eastAsia" w:ascii="宋体" w:hAnsi="宋体" w:cs="宋体"/>
                <w:kern w:val="0"/>
                <w:sz w:val="18"/>
                <w:szCs w:val="18"/>
              </w:rPr>
              <w:t>X＜20</w:t>
            </w:r>
          </w:p>
        </w:tc>
      </w:tr>
      <w:tr w14:paraId="770310D4">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noWrap w:val="0"/>
            <w:vAlign w:val="center"/>
          </w:tcPr>
          <w:p w14:paraId="38821046">
            <w:pPr>
              <w:keepNext w:val="0"/>
              <w:keepLines w:val="0"/>
              <w:widowControl/>
              <w:suppressLineNumbers w:val="0"/>
              <w:spacing w:before="0" w:beforeAutospacing="0" w:after="0" w:afterAutospacing="0"/>
              <w:ind w:left="0" w:right="0"/>
              <w:jc w:val="left"/>
              <w:rPr>
                <w:rFonts w:hint="default" w:ascii="宋体" w:hAnsi="宋体" w:cs="宋体"/>
                <w:b/>
                <w:bCs/>
                <w:kern w:val="0"/>
                <w:sz w:val="18"/>
                <w:szCs w:val="18"/>
              </w:rPr>
            </w:pPr>
          </w:p>
        </w:tc>
        <w:tc>
          <w:tcPr>
            <w:tcW w:w="1489" w:type="dxa"/>
            <w:tcBorders>
              <w:top w:val="nil"/>
              <w:left w:val="nil"/>
              <w:bottom w:val="single" w:color="auto" w:sz="4" w:space="0"/>
              <w:right w:val="single" w:color="auto" w:sz="4" w:space="0"/>
            </w:tcBorders>
            <w:noWrap w:val="0"/>
            <w:vAlign w:val="center"/>
          </w:tcPr>
          <w:p w14:paraId="5985A421">
            <w:pPr>
              <w:keepNext w:val="0"/>
              <w:keepLines w:val="0"/>
              <w:widowControl/>
              <w:suppressLineNumbers w:val="0"/>
              <w:spacing w:before="0" w:beforeAutospacing="0" w:after="0" w:afterAutospacing="0"/>
              <w:ind w:left="0" w:right="0"/>
              <w:jc w:val="left"/>
              <w:rPr>
                <w:rFonts w:hint="eastAsia" w:ascii="宋体" w:hAnsi="宋体" w:cs="宋体"/>
                <w:kern w:val="0"/>
                <w:sz w:val="18"/>
                <w:szCs w:val="18"/>
              </w:rPr>
            </w:pPr>
            <w:r>
              <w:rPr>
                <w:rFonts w:hint="eastAsia" w:ascii="宋体" w:hAnsi="宋体" w:cs="宋体"/>
                <w:kern w:val="0"/>
                <w:sz w:val="18"/>
                <w:szCs w:val="18"/>
              </w:rPr>
              <w:t>营业收入（Y）</w:t>
            </w:r>
          </w:p>
        </w:tc>
        <w:tc>
          <w:tcPr>
            <w:tcW w:w="983" w:type="dxa"/>
            <w:tcBorders>
              <w:top w:val="nil"/>
              <w:left w:val="nil"/>
              <w:bottom w:val="single" w:color="auto" w:sz="4" w:space="0"/>
              <w:right w:val="single" w:color="auto" w:sz="4" w:space="0"/>
            </w:tcBorders>
            <w:noWrap w:val="0"/>
            <w:vAlign w:val="center"/>
          </w:tcPr>
          <w:p w14:paraId="20D79341">
            <w:pPr>
              <w:keepNext w:val="0"/>
              <w:keepLines w:val="0"/>
              <w:widowControl/>
              <w:suppressLineNumbers w:val="0"/>
              <w:spacing w:before="0" w:beforeAutospacing="0" w:after="0" w:afterAutospacing="0"/>
              <w:ind w:left="0" w:right="0"/>
              <w:jc w:val="left"/>
              <w:rPr>
                <w:rFonts w:hint="eastAsia" w:ascii="宋体" w:hAnsi="宋体" w:cs="宋体"/>
                <w:kern w:val="0"/>
                <w:sz w:val="18"/>
                <w:szCs w:val="18"/>
              </w:rPr>
            </w:pPr>
            <w:r>
              <w:rPr>
                <w:rFonts w:hint="eastAsia" w:ascii="宋体" w:hAnsi="宋体" w:cs="宋体"/>
                <w:kern w:val="0"/>
                <w:sz w:val="18"/>
                <w:szCs w:val="18"/>
              </w:rPr>
              <w:t>万元</w:t>
            </w:r>
          </w:p>
        </w:tc>
        <w:tc>
          <w:tcPr>
            <w:tcW w:w="1743" w:type="dxa"/>
            <w:tcBorders>
              <w:top w:val="nil"/>
              <w:left w:val="nil"/>
              <w:bottom w:val="single" w:color="auto" w:sz="4" w:space="0"/>
              <w:right w:val="single" w:color="auto" w:sz="4" w:space="0"/>
            </w:tcBorders>
            <w:noWrap w:val="0"/>
            <w:vAlign w:val="center"/>
          </w:tcPr>
          <w:p w14:paraId="6215AFC8">
            <w:pPr>
              <w:keepNext w:val="0"/>
              <w:keepLines w:val="0"/>
              <w:widowControl/>
              <w:suppressLineNumbers w:val="0"/>
              <w:spacing w:before="0" w:beforeAutospacing="0" w:after="0" w:afterAutospacing="0"/>
              <w:ind w:left="0" w:right="0"/>
              <w:jc w:val="left"/>
              <w:rPr>
                <w:rFonts w:hint="eastAsia" w:ascii="宋体" w:hAnsi="宋体" w:cs="宋体"/>
                <w:kern w:val="0"/>
                <w:sz w:val="18"/>
                <w:szCs w:val="18"/>
              </w:rPr>
            </w:pPr>
            <w:r>
              <w:rPr>
                <w:rFonts w:hint="eastAsia" w:ascii="宋体" w:hAnsi="宋体" w:cs="宋体"/>
                <w:kern w:val="0"/>
                <w:sz w:val="18"/>
                <w:szCs w:val="18"/>
              </w:rPr>
              <w:t>2000≤Y＜30000</w:t>
            </w:r>
          </w:p>
        </w:tc>
        <w:tc>
          <w:tcPr>
            <w:tcW w:w="1549" w:type="dxa"/>
            <w:tcBorders>
              <w:top w:val="nil"/>
              <w:left w:val="nil"/>
              <w:bottom w:val="single" w:color="auto" w:sz="4" w:space="0"/>
              <w:right w:val="single" w:color="auto" w:sz="4" w:space="0"/>
            </w:tcBorders>
            <w:noWrap w:val="0"/>
            <w:vAlign w:val="center"/>
          </w:tcPr>
          <w:p w14:paraId="10F172CF">
            <w:pPr>
              <w:keepNext w:val="0"/>
              <w:keepLines w:val="0"/>
              <w:widowControl/>
              <w:suppressLineNumbers w:val="0"/>
              <w:spacing w:before="0" w:beforeAutospacing="0" w:after="0" w:afterAutospacing="0"/>
              <w:ind w:left="0" w:right="0"/>
              <w:jc w:val="left"/>
              <w:rPr>
                <w:rFonts w:hint="eastAsia" w:ascii="宋体" w:hAnsi="宋体" w:cs="宋体"/>
                <w:kern w:val="0"/>
                <w:sz w:val="18"/>
                <w:szCs w:val="18"/>
              </w:rPr>
            </w:pPr>
            <w:r>
              <w:rPr>
                <w:rFonts w:hint="eastAsia" w:ascii="宋体" w:hAnsi="宋体" w:cs="宋体"/>
                <w:kern w:val="0"/>
                <w:sz w:val="18"/>
                <w:szCs w:val="18"/>
              </w:rPr>
              <w:t>100≤Y＜2000</w:t>
            </w:r>
          </w:p>
        </w:tc>
        <w:tc>
          <w:tcPr>
            <w:tcW w:w="996" w:type="dxa"/>
            <w:tcBorders>
              <w:top w:val="nil"/>
              <w:left w:val="nil"/>
              <w:bottom w:val="single" w:color="auto" w:sz="4" w:space="0"/>
              <w:right w:val="single" w:color="auto" w:sz="4" w:space="0"/>
            </w:tcBorders>
            <w:noWrap w:val="0"/>
            <w:vAlign w:val="center"/>
          </w:tcPr>
          <w:p w14:paraId="10D4AD8B">
            <w:pPr>
              <w:keepNext w:val="0"/>
              <w:keepLines w:val="0"/>
              <w:widowControl/>
              <w:suppressLineNumbers w:val="0"/>
              <w:spacing w:before="0" w:beforeAutospacing="0" w:after="0" w:afterAutospacing="0"/>
              <w:ind w:left="0" w:right="0"/>
              <w:jc w:val="left"/>
              <w:rPr>
                <w:rFonts w:hint="eastAsia" w:ascii="宋体" w:hAnsi="宋体" w:cs="宋体"/>
                <w:kern w:val="0"/>
                <w:sz w:val="18"/>
                <w:szCs w:val="18"/>
              </w:rPr>
            </w:pPr>
            <w:r>
              <w:rPr>
                <w:rFonts w:hint="eastAsia" w:ascii="宋体" w:hAnsi="宋体" w:cs="宋体"/>
                <w:kern w:val="0"/>
                <w:sz w:val="18"/>
                <w:szCs w:val="18"/>
              </w:rPr>
              <w:t>Y＜100</w:t>
            </w:r>
          </w:p>
        </w:tc>
      </w:tr>
      <w:tr w14:paraId="5488EF5E">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noWrap w:val="0"/>
            <w:vAlign w:val="bottom"/>
          </w:tcPr>
          <w:p w14:paraId="326410FC">
            <w:pPr>
              <w:keepNext w:val="0"/>
              <w:keepLines w:val="0"/>
              <w:widowControl/>
              <w:suppressLineNumbers w:val="0"/>
              <w:spacing w:before="0" w:beforeAutospacing="0" w:after="0" w:afterAutospacing="0"/>
              <w:ind w:left="0" w:right="0"/>
              <w:jc w:val="center"/>
              <w:rPr>
                <w:rFonts w:hint="eastAsia" w:ascii="宋体" w:hAnsi="宋体" w:cs="宋体"/>
                <w:b/>
                <w:bCs/>
                <w:kern w:val="0"/>
                <w:sz w:val="18"/>
                <w:szCs w:val="18"/>
              </w:rPr>
            </w:pPr>
            <w:r>
              <w:rPr>
                <w:rFonts w:hint="eastAsia" w:ascii="宋体" w:hAnsi="宋体" w:cs="宋体"/>
                <w:b/>
                <w:bCs/>
                <w:kern w:val="0"/>
                <w:sz w:val="18"/>
                <w:szCs w:val="18"/>
              </w:rPr>
              <w:t>住宿业</w:t>
            </w:r>
          </w:p>
        </w:tc>
        <w:tc>
          <w:tcPr>
            <w:tcW w:w="1489" w:type="dxa"/>
            <w:tcBorders>
              <w:top w:val="nil"/>
              <w:left w:val="nil"/>
              <w:bottom w:val="single" w:color="auto" w:sz="4" w:space="0"/>
              <w:right w:val="single" w:color="auto" w:sz="4" w:space="0"/>
            </w:tcBorders>
            <w:noWrap w:val="0"/>
            <w:vAlign w:val="center"/>
          </w:tcPr>
          <w:p w14:paraId="1E44D1BD">
            <w:pPr>
              <w:keepNext w:val="0"/>
              <w:keepLines w:val="0"/>
              <w:widowControl/>
              <w:suppressLineNumbers w:val="0"/>
              <w:spacing w:before="0" w:beforeAutospacing="0" w:after="0" w:afterAutospacing="0"/>
              <w:ind w:left="0" w:right="0"/>
              <w:jc w:val="left"/>
              <w:rPr>
                <w:rFonts w:hint="eastAsia" w:ascii="宋体" w:hAnsi="宋体" w:cs="宋体"/>
                <w:kern w:val="0"/>
                <w:sz w:val="18"/>
                <w:szCs w:val="18"/>
              </w:rPr>
            </w:pPr>
            <w:r>
              <w:rPr>
                <w:rFonts w:hint="eastAsia" w:ascii="宋体" w:hAnsi="宋体" w:cs="宋体"/>
                <w:kern w:val="0"/>
                <w:sz w:val="18"/>
                <w:szCs w:val="18"/>
              </w:rPr>
              <w:t>从业人员（X）</w:t>
            </w:r>
          </w:p>
        </w:tc>
        <w:tc>
          <w:tcPr>
            <w:tcW w:w="983" w:type="dxa"/>
            <w:tcBorders>
              <w:top w:val="nil"/>
              <w:left w:val="nil"/>
              <w:bottom w:val="single" w:color="auto" w:sz="4" w:space="0"/>
              <w:right w:val="single" w:color="auto" w:sz="4" w:space="0"/>
            </w:tcBorders>
            <w:noWrap w:val="0"/>
            <w:vAlign w:val="center"/>
          </w:tcPr>
          <w:p w14:paraId="6552698C">
            <w:pPr>
              <w:keepNext w:val="0"/>
              <w:keepLines w:val="0"/>
              <w:widowControl/>
              <w:suppressLineNumbers w:val="0"/>
              <w:spacing w:before="0" w:beforeAutospacing="0" w:after="0" w:afterAutospacing="0"/>
              <w:ind w:left="0" w:right="0"/>
              <w:jc w:val="left"/>
              <w:rPr>
                <w:rFonts w:hint="eastAsia" w:ascii="宋体" w:hAnsi="宋体" w:cs="宋体"/>
                <w:kern w:val="0"/>
                <w:sz w:val="18"/>
                <w:szCs w:val="18"/>
              </w:rPr>
            </w:pPr>
            <w:r>
              <w:rPr>
                <w:rFonts w:hint="eastAsia" w:ascii="宋体" w:hAnsi="宋体" w:cs="宋体"/>
                <w:kern w:val="0"/>
                <w:sz w:val="18"/>
                <w:szCs w:val="18"/>
              </w:rPr>
              <w:t>人</w:t>
            </w:r>
          </w:p>
        </w:tc>
        <w:tc>
          <w:tcPr>
            <w:tcW w:w="1743" w:type="dxa"/>
            <w:tcBorders>
              <w:top w:val="nil"/>
              <w:left w:val="nil"/>
              <w:bottom w:val="single" w:color="auto" w:sz="4" w:space="0"/>
              <w:right w:val="single" w:color="auto" w:sz="4" w:space="0"/>
            </w:tcBorders>
            <w:noWrap w:val="0"/>
            <w:vAlign w:val="center"/>
          </w:tcPr>
          <w:p w14:paraId="64052F99">
            <w:pPr>
              <w:keepNext w:val="0"/>
              <w:keepLines w:val="0"/>
              <w:widowControl/>
              <w:suppressLineNumbers w:val="0"/>
              <w:spacing w:before="0" w:beforeAutospacing="0" w:after="0" w:afterAutospacing="0"/>
              <w:ind w:left="0" w:right="0"/>
              <w:jc w:val="left"/>
              <w:rPr>
                <w:rFonts w:hint="eastAsia" w:ascii="宋体" w:hAnsi="宋体" w:cs="宋体"/>
                <w:kern w:val="0"/>
                <w:sz w:val="18"/>
                <w:szCs w:val="18"/>
              </w:rPr>
            </w:pPr>
            <w:r>
              <w:rPr>
                <w:rFonts w:hint="eastAsia" w:ascii="宋体" w:hAnsi="宋体" w:cs="宋体"/>
                <w:kern w:val="0"/>
                <w:sz w:val="18"/>
                <w:szCs w:val="18"/>
              </w:rPr>
              <w:t>100≤X＜300</w:t>
            </w:r>
          </w:p>
        </w:tc>
        <w:tc>
          <w:tcPr>
            <w:tcW w:w="1549" w:type="dxa"/>
            <w:tcBorders>
              <w:top w:val="nil"/>
              <w:left w:val="nil"/>
              <w:bottom w:val="single" w:color="auto" w:sz="4" w:space="0"/>
              <w:right w:val="single" w:color="auto" w:sz="4" w:space="0"/>
            </w:tcBorders>
            <w:noWrap w:val="0"/>
            <w:vAlign w:val="center"/>
          </w:tcPr>
          <w:p w14:paraId="61CC182F">
            <w:pPr>
              <w:keepNext w:val="0"/>
              <w:keepLines w:val="0"/>
              <w:widowControl/>
              <w:suppressLineNumbers w:val="0"/>
              <w:spacing w:before="0" w:beforeAutospacing="0" w:after="0" w:afterAutospacing="0"/>
              <w:ind w:left="0" w:right="0"/>
              <w:jc w:val="left"/>
              <w:rPr>
                <w:rFonts w:hint="eastAsia" w:ascii="宋体" w:hAnsi="宋体" w:cs="宋体"/>
                <w:kern w:val="0"/>
                <w:sz w:val="18"/>
                <w:szCs w:val="18"/>
              </w:rPr>
            </w:pPr>
            <w:r>
              <w:rPr>
                <w:rFonts w:hint="eastAsia" w:ascii="宋体" w:hAnsi="宋体" w:cs="宋体"/>
                <w:kern w:val="0"/>
                <w:sz w:val="18"/>
                <w:szCs w:val="18"/>
              </w:rPr>
              <w:t>10≤X＜100</w:t>
            </w:r>
          </w:p>
        </w:tc>
        <w:tc>
          <w:tcPr>
            <w:tcW w:w="996" w:type="dxa"/>
            <w:tcBorders>
              <w:top w:val="nil"/>
              <w:left w:val="nil"/>
              <w:bottom w:val="single" w:color="auto" w:sz="4" w:space="0"/>
              <w:right w:val="single" w:color="auto" w:sz="4" w:space="0"/>
            </w:tcBorders>
            <w:noWrap w:val="0"/>
            <w:vAlign w:val="center"/>
          </w:tcPr>
          <w:p w14:paraId="56836B75">
            <w:pPr>
              <w:keepNext w:val="0"/>
              <w:keepLines w:val="0"/>
              <w:widowControl/>
              <w:suppressLineNumbers w:val="0"/>
              <w:spacing w:before="0" w:beforeAutospacing="0" w:after="0" w:afterAutospacing="0"/>
              <w:ind w:left="0" w:right="0"/>
              <w:jc w:val="left"/>
              <w:rPr>
                <w:rFonts w:hint="eastAsia" w:ascii="宋体" w:hAnsi="宋体" w:cs="宋体"/>
                <w:kern w:val="0"/>
                <w:sz w:val="18"/>
                <w:szCs w:val="18"/>
              </w:rPr>
            </w:pPr>
            <w:r>
              <w:rPr>
                <w:rFonts w:hint="eastAsia" w:ascii="宋体" w:hAnsi="宋体" w:cs="宋体"/>
                <w:kern w:val="0"/>
                <w:sz w:val="18"/>
                <w:szCs w:val="18"/>
              </w:rPr>
              <w:t>X＜10</w:t>
            </w:r>
          </w:p>
        </w:tc>
      </w:tr>
      <w:tr w14:paraId="04D0CBD3">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noWrap w:val="0"/>
            <w:vAlign w:val="center"/>
          </w:tcPr>
          <w:p w14:paraId="29DE068A">
            <w:pPr>
              <w:keepNext w:val="0"/>
              <w:keepLines w:val="0"/>
              <w:widowControl/>
              <w:suppressLineNumbers w:val="0"/>
              <w:spacing w:before="0" w:beforeAutospacing="0" w:after="0" w:afterAutospacing="0"/>
              <w:ind w:left="0" w:right="0"/>
              <w:jc w:val="left"/>
              <w:rPr>
                <w:rFonts w:hint="default" w:ascii="宋体" w:hAnsi="宋体" w:cs="宋体"/>
                <w:b/>
                <w:bCs/>
                <w:kern w:val="0"/>
                <w:sz w:val="18"/>
                <w:szCs w:val="18"/>
              </w:rPr>
            </w:pPr>
          </w:p>
        </w:tc>
        <w:tc>
          <w:tcPr>
            <w:tcW w:w="1489" w:type="dxa"/>
            <w:tcBorders>
              <w:top w:val="nil"/>
              <w:left w:val="nil"/>
              <w:bottom w:val="single" w:color="auto" w:sz="4" w:space="0"/>
              <w:right w:val="single" w:color="auto" w:sz="4" w:space="0"/>
            </w:tcBorders>
            <w:noWrap w:val="0"/>
            <w:vAlign w:val="center"/>
          </w:tcPr>
          <w:p w14:paraId="4AE2F81E">
            <w:pPr>
              <w:keepNext w:val="0"/>
              <w:keepLines w:val="0"/>
              <w:widowControl/>
              <w:suppressLineNumbers w:val="0"/>
              <w:spacing w:before="0" w:beforeAutospacing="0" w:after="0" w:afterAutospacing="0"/>
              <w:ind w:left="0" w:right="0"/>
              <w:jc w:val="left"/>
              <w:rPr>
                <w:rFonts w:hint="eastAsia" w:ascii="宋体" w:hAnsi="宋体" w:cs="宋体"/>
                <w:kern w:val="0"/>
                <w:sz w:val="18"/>
                <w:szCs w:val="18"/>
              </w:rPr>
            </w:pPr>
            <w:r>
              <w:rPr>
                <w:rFonts w:hint="eastAsia" w:ascii="宋体" w:hAnsi="宋体" w:cs="宋体"/>
                <w:kern w:val="0"/>
                <w:sz w:val="18"/>
                <w:szCs w:val="18"/>
              </w:rPr>
              <w:t>营业收入（Y）</w:t>
            </w:r>
          </w:p>
        </w:tc>
        <w:tc>
          <w:tcPr>
            <w:tcW w:w="983" w:type="dxa"/>
            <w:tcBorders>
              <w:top w:val="nil"/>
              <w:left w:val="nil"/>
              <w:bottom w:val="single" w:color="auto" w:sz="4" w:space="0"/>
              <w:right w:val="single" w:color="auto" w:sz="4" w:space="0"/>
            </w:tcBorders>
            <w:noWrap w:val="0"/>
            <w:vAlign w:val="center"/>
          </w:tcPr>
          <w:p w14:paraId="0732CBF3">
            <w:pPr>
              <w:keepNext w:val="0"/>
              <w:keepLines w:val="0"/>
              <w:widowControl/>
              <w:suppressLineNumbers w:val="0"/>
              <w:spacing w:before="0" w:beforeAutospacing="0" w:after="0" w:afterAutospacing="0"/>
              <w:ind w:left="0" w:right="0"/>
              <w:jc w:val="left"/>
              <w:rPr>
                <w:rFonts w:hint="eastAsia" w:ascii="宋体" w:hAnsi="宋体" w:cs="宋体"/>
                <w:kern w:val="0"/>
                <w:sz w:val="18"/>
                <w:szCs w:val="18"/>
              </w:rPr>
            </w:pPr>
            <w:r>
              <w:rPr>
                <w:rFonts w:hint="eastAsia" w:ascii="宋体" w:hAnsi="宋体" w:cs="宋体"/>
                <w:kern w:val="0"/>
                <w:sz w:val="18"/>
                <w:szCs w:val="18"/>
              </w:rPr>
              <w:t>万元</w:t>
            </w:r>
          </w:p>
        </w:tc>
        <w:tc>
          <w:tcPr>
            <w:tcW w:w="1743" w:type="dxa"/>
            <w:tcBorders>
              <w:top w:val="nil"/>
              <w:left w:val="nil"/>
              <w:bottom w:val="single" w:color="auto" w:sz="4" w:space="0"/>
              <w:right w:val="single" w:color="auto" w:sz="4" w:space="0"/>
            </w:tcBorders>
            <w:noWrap w:val="0"/>
            <w:vAlign w:val="center"/>
          </w:tcPr>
          <w:p w14:paraId="10295A7A">
            <w:pPr>
              <w:keepNext w:val="0"/>
              <w:keepLines w:val="0"/>
              <w:widowControl/>
              <w:suppressLineNumbers w:val="0"/>
              <w:spacing w:before="0" w:beforeAutospacing="0" w:after="0" w:afterAutospacing="0"/>
              <w:ind w:left="0" w:right="0"/>
              <w:jc w:val="left"/>
              <w:rPr>
                <w:rFonts w:hint="eastAsia" w:ascii="宋体" w:hAnsi="宋体" w:cs="宋体"/>
                <w:kern w:val="0"/>
                <w:sz w:val="18"/>
                <w:szCs w:val="18"/>
              </w:rPr>
            </w:pPr>
            <w:r>
              <w:rPr>
                <w:rFonts w:hint="eastAsia" w:ascii="宋体" w:hAnsi="宋体" w:cs="宋体"/>
                <w:kern w:val="0"/>
                <w:sz w:val="18"/>
                <w:szCs w:val="18"/>
              </w:rPr>
              <w:t>2000≤Y＜10000</w:t>
            </w:r>
          </w:p>
        </w:tc>
        <w:tc>
          <w:tcPr>
            <w:tcW w:w="1549" w:type="dxa"/>
            <w:tcBorders>
              <w:top w:val="nil"/>
              <w:left w:val="nil"/>
              <w:bottom w:val="single" w:color="auto" w:sz="4" w:space="0"/>
              <w:right w:val="single" w:color="auto" w:sz="4" w:space="0"/>
            </w:tcBorders>
            <w:noWrap w:val="0"/>
            <w:vAlign w:val="center"/>
          </w:tcPr>
          <w:p w14:paraId="687C9303">
            <w:pPr>
              <w:keepNext w:val="0"/>
              <w:keepLines w:val="0"/>
              <w:widowControl/>
              <w:suppressLineNumbers w:val="0"/>
              <w:spacing w:before="0" w:beforeAutospacing="0" w:after="0" w:afterAutospacing="0"/>
              <w:ind w:left="0" w:right="0"/>
              <w:jc w:val="left"/>
              <w:rPr>
                <w:rFonts w:hint="eastAsia" w:ascii="宋体" w:hAnsi="宋体" w:cs="宋体"/>
                <w:kern w:val="0"/>
                <w:sz w:val="18"/>
                <w:szCs w:val="18"/>
              </w:rPr>
            </w:pPr>
            <w:r>
              <w:rPr>
                <w:rFonts w:hint="eastAsia" w:ascii="宋体" w:hAnsi="宋体" w:cs="宋体"/>
                <w:kern w:val="0"/>
                <w:sz w:val="18"/>
                <w:szCs w:val="18"/>
              </w:rPr>
              <w:t>100≤Y＜2000</w:t>
            </w:r>
          </w:p>
        </w:tc>
        <w:tc>
          <w:tcPr>
            <w:tcW w:w="996" w:type="dxa"/>
            <w:tcBorders>
              <w:top w:val="nil"/>
              <w:left w:val="nil"/>
              <w:bottom w:val="single" w:color="auto" w:sz="4" w:space="0"/>
              <w:right w:val="single" w:color="auto" w:sz="4" w:space="0"/>
            </w:tcBorders>
            <w:noWrap w:val="0"/>
            <w:vAlign w:val="center"/>
          </w:tcPr>
          <w:p w14:paraId="09606A2A">
            <w:pPr>
              <w:keepNext w:val="0"/>
              <w:keepLines w:val="0"/>
              <w:widowControl/>
              <w:suppressLineNumbers w:val="0"/>
              <w:spacing w:before="0" w:beforeAutospacing="0" w:after="0" w:afterAutospacing="0"/>
              <w:ind w:left="0" w:right="0"/>
              <w:jc w:val="left"/>
              <w:rPr>
                <w:rFonts w:hint="eastAsia" w:ascii="宋体" w:hAnsi="宋体" w:cs="宋体"/>
                <w:kern w:val="0"/>
                <w:sz w:val="18"/>
                <w:szCs w:val="18"/>
              </w:rPr>
            </w:pPr>
            <w:r>
              <w:rPr>
                <w:rFonts w:hint="eastAsia" w:ascii="宋体" w:hAnsi="宋体" w:cs="宋体"/>
                <w:kern w:val="0"/>
                <w:sz w:val="18"/>
                <w:szCs w:val="18"/>
              </w:rPr>
              <w:t>Y＜100</w:t>
            </w:r>
          </w:p>
        </w:tc>
      </w:tr>
      <w:tr w14:paraId="4C80B530">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noWrap w:val="0"/>
            <w:vAlign w:val="bottom"/>
          </w:tcPr>
          <w:p w14:paraId="6131AD0D">
            <w:pPr>
              <w:keepNext w:val="0"/>
              <w:keepLines w:val="0"/>
              <w:widowControl/>
              <w:suppressLineNumbers w:val="0"/>
              <w:spacing w:before="0" w:beforeAutospacing="0" w:after="0" w:afterAutospacing="0"/>
              <w:ind w:left="0" w:right="0"/>
              <w:jc w:val="center"/>
              <w:rPr>
                <w:rFonts w:hint="eastAsia" w:ascii="宋体" w:hAnsi="宋体" w:cs="宋体"/>
                <w:b/>
                <w:bCs/>
                <w:kern w:val="0"/>
                <w:sz w:val="18"/>
                <w:szCs w:val="18"/>
              </w:rPr>
            </w:pPr>
            <w:r>
              <w:rPr>
                <w:rFonts w:hint="eastAsia" w:ascii="宋体" w:hAnsi="宋体" w:cs="宋体"/>
                <w:b/>
                <w:bCs/>
                <w:kern w:val="0"/>
                <w:sz w:val="18"/>
                <w:szCs w:val="18"/>
              </w:rPr>
              <w:t>餐饮业</w:t>
            </w:r>
          </w:p>
        </w:tc>
        <w:tc>
          <w:tcPr>
            <w:tcW w:w="1489" w:type="dxa"/>
            <w:tcBorders>
              <w:top w:val="nil"/>
              <w:left w:val="nil"/>
              <w:bottom w:val="single" w:color="auto" w:sz="4" w:space="0"/>
              <w:right w:val="single" w:color="auto" w:sz="4" w:space="0"/>
            </w:tcBorders>
            <w:noWrap w:val="0"/>
            <w:vAlign w:val="center"/>
          </w:tcPr>
          <w:p w14:paraId="4F44E805">
            <w:pPr>
              <w:keepNext w:val="0"/>
              <w:keepLines w:val="0"/>
              <w:widowControl/>
              <w:suppressLineNumbers w:val="0"/>
              <w:spacing w:before="0" w:beforeAutospacing="0" w:after="0" w:afterAutospacing="0"/>
              <w:ind w:left="0" w:right="0"/>
              <w:jc w:val="left"/>
              <w:rPr>
                <w:rFonts w:hint="eastAsia" w:ascii="宋体" w:hAnsi="宋体" w:cs="宋体"/>
                <w:kern w:val="0"/>
                <w:sz w:val="18"/>
                <w:szCs w:val="18"/>
              </w:rPr>
            </w:pPr>
            <w:r>
              <w:rPr>
                <w:rFonts w:hint="eastAsia" w:ascii="宋体" w:hAnsi="宋体" w:cs="宋体"/>
                <w:kern w:val="0"/>
                <w:sz w:val="18"/>
                <w:szCs w:val="18"/>
              </w:rPr>
              <w:t>从业人员（X）</w:t>
            </w:r>
          </w:p>
        </w:tc>
        <w:tc>
          <w:tcPr>
            <w:tcW w:w="983" w:type="dxa"/>
            <w:tcBorders>
              <w:top w:val="nil"/>
              <w:left w:val="nil"/>
              <w:bottom w:val="single" w:color="auto" w:sz="4" w:space="0"/>
              <w:right w:val="single" w:color="auto" w:sz="4" w:space="0"/>
            </w:tcBorders>
            <w:noWrap w:val="0"/>
            <w:vAlign w:val="center"/>
          </w:tcPr>
          <w:p w14:paraId="04E54F48">
            <w:pPr>
              <w:keepNext w:val="0"/>
              <w:keepLines w:val="0"/>
              <w:widowControl/>
              <w:suppressLineNumbers w:val="0"/>
              <w:spacing w:before="0" w:beforeAutospacing="0" w:after="0" w:afterAutospacing="0"/>
              <w:ind w:left="0" w:right="0"/>
              <w:jc w:val="left"/>
              <w:rPr>
                <w:rFonts w:hint="eastAsia" w:ascii="宋体" w:hAnsi="宋体" w:cs="宋体"/>
                <w:kern w:val="0"/>
                <w:sz w:val="18"/>
                <w:szCs w:val="18"/>
              </w:rPr>
            </w:pPr>
            <w:r>
              <w:rPr>
                <w:rFonts w:hint="eastAsia" w:ascii="宋体" w:hAnsi="宋体" w:cs="宋体"/>
                <w:kern w:val="0"/>
                <w:sz w:val="18"/>
                <w:szCs w:val="18"/>
              </w:rPr>
              <w:t>人</w:t>
            </w:r>
          </w:p>
        </w:tc>
        <w:tc>
          <w:tcPr>
            <w:tcW w:w="1743" w:type="dxa"/>
            <w:tcBorders>
              <w:top w:val="nil"/>
              <w:left w:val="nil"/>
              <w:bottom w:val="single" w:color="auto" w:sz="4" w:space="0"/>
              <w:right w:val="single" w:color="auto" w:sz="4" w:space="0"/>
            </w:tcBorders>
            <w:noWrap w:val="0"/>
            <w:vAlign w:val="center"/>
          </w:tcPr>
          <w:p w14:paraId="3C7E2492">
            <w:pPr>
              <w:keepNext w:val="0"/>
              <w:keepLines w:val="0"/>
              <w:widowControl/>
              <w:suppressLineNumbers w:val="0"/>
              <w:spacing w:before="0" w:beforeAutospacing="0" w:after="0" w:afterAutospacing="0"/>
              <w:ind w:left="0" w:right="0"/>
              <w:jc w:val="left"/>
              <w:rPr>
                <w:rFonts w:hint="eastAsia" w:ascii="宋体" w:hAnsi="宋体" w:cs="宋体"/>
                <w:kern w:val="0"/>
                <w:sz w:val="18"/>
                <w:szCs w:val="18"/>
              </w:rPr>
            </w:pPr>
            <w:r>
              <w:rPr>
                <w:rFonts w:hint="eastAsia" w:ascii="宋体" w:hAnsi="宋体" w:cs="宋体"/>
                <w:kern w:val="0"/>
                <w:sz w:val="18"/>
                <w:szCs w:val="18"/>
              </w:rPr>
              <w:t>100≤X＜300</w:t>
            </w:r>
          </w:p>
        </w:tc>
        <w:tc>
          <w:tcPr>
            <w:tcW w:w="1549" w:type="dxa"/>
            <w:tcBorders>
              <w:top w:val="nil"/>
              <w:left w:val="nil"/>
              <w:bottom w:val="single" w:color="auto" w:sz="4" w:space="0"/>
              <w:right w:val="single" w:color="auto" w:sz="4" w:space="0"/>
            </w:tcBorders>
            <w:noWrap w:val="0"/>
            <w:vAlign w:val="center"/>
          </w:tcPr>
          <w:p w14:paraId="7D38BC48">
            <w:pPr>
              <w:keepNext w:val="0"/>
              <w:keepLines w:val="0"/>
              <w:widowControl/>
              <w:suppressLineNumbers w:val="0"/>
              <w:spacing w:before="0" w:beforeAutospacing="0" w:after="0" w:afterAutospacing="0"/>
              <w:ind w:left="0" w:right="0"/>
              <w:jc w:val="left"/>
              <w:rPr>
                <w:rFonts w:hint="eastAsia" w:ascii="宋体" w:hAnsi="宋体" w:cs="宋体"/>
                <w:kern w:val="0"/>
                <w:sz w:val="18"/>
                <w:szCs w:val="18"/>
              </w:rPr>
            </w:pPr>
            <w:r>
              <w:rPr>
                <w:rFonts w:hint="eastAsia" w:ascii="宋体" w:hAnsi="宋体" w:cs="宋体"/>
                <w:kern w:val="0"/>
                <w:sz w:val="18"/>
                <w:szCs w:val="18"/>
              </w:rPr>
              <w:t>10≤X＜100</w:t>
            </w:r>
          </w:p>
        </w:tc>
        <w:tc>
          <w:tcPr>
            <w:tcW w:w="996" w:type="dxa"/>
            <w:tcBorders>
              <w:top w:val="nil"/>
              <w:left w:val="nil"/>
              <w:bottom w:val="single" w:color="auto" w:sz="4" w:space="0"/>
              <w:right w:val="single" w:color="auto" w:sz="4" w:space="0"/>
            </w:tcBorders>
            <w:noWrap w:val="0"/>
            <w:vAlign w:val="center"/>
          </w:tcPr>
          <w:p w14:paraId="438CACF5">
            <w:pPr>
              <w:keepNext w:val="0"/>
              <w:keepLines w:val="0"/>
              <w:widowControl/>
              <w:suppressLineNumbers w:val="0"/>
              <w:spacing w:before="0" w:beforeAutospacing="0" w:after="0" w:afterAutospacing="0"/>
              <w:ind w:left="0" w:right="0"/>
              <w:jc w:val="left"/>
              <w:rPr>
                <w:rFonts w:hint="eastAsia" w:ascii="宋体" w:hAnsi="宋体" w:cs="宋体"/>
                <w:kern w:val="0"/>
                <w:sz w:val="18"/>
                <w:szCs w:val="18"/>
              </w:rPr>
            </w:pPr>
            <w:r>
              <w:rPr>
                <w:rFonts w:hint="eastAsia" w:ascii="宋体" w:hAnsi="宋体" w:cs="宋体"/>
                <w:kern w:val="0"/>
                <w:sz w:val="18"/>
                <w:szCs w:val="18"/>
              </w:rPr>
              <w:t>X＜10</w:t>
            </w:r>
          </w:p>
        </w:tc>
      </w:tr>
      <w:tr w14:paraId="7510952E">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noWrap w:val="0"/>
            <w:vAlign w:val="center"/>
          </w:tcPr>
          <w:p w14:paraId="68D53DF0">
            <w:pPr>
              <w:keepNext w:val="0"/>
              <w:keepLines w:val="0"/>
              <w:widowControl/>
              <w:suppressLineNumbers w:val="0"/>
              <w:spacing w:before="0" w:beforeAutospacing="0" w:after="0" w:afterAutospacing="0"/>
              <w:ind w:left="0" w:right="0"/>
              <w:jc w:val="left"/>
              <w:rPr>
                <w:rFonts w:hint="default" w:ascii="宋体" w:hAnsi="宋体" w:cs="宋体"/>
                <w:b/>
                <w:bCs/>
                <w:kern w:val="0"/>
                <w:sz w:val="18"/>
                <w:szCs w:val="18"/>
              </w:rPr>
            </w:pPr>
          </w:p>
        </w:tc>
        <w:tc>
          <w:tcPr>
            <w:tcW w:w="1489" w:type="dxa"/>
            <w:tcBorders>
              <w:top w:val="nil"/>
              <w:left w:val="nil"/>
              <w:bottom w:val="single" w:color="auto" w:sz="4" w:space="0"/>
              <w:right w:val="single" w:color="auto" w:sz="4" w:space="0"/>
            </w:tcBorders>
            <w:noWrap w:val="0"/>
            <w:vAlign w:val="center"/>
          </w:tcPr>
          <w:p w14:paraId="28721274">
            <w:pPr>
              <w:keepNext w:val="0"/>
              <w:keepLines w:val="0"/>
              <w:widowControl/>
              <w:suppressLineNumbers w:val="0"/>
              <w:spacing w:before="0" w:beforeAutospacing="0" w:after="0" w:afterAutospacing="0"/>
              <w:ind w:left="0" w:right="0"/>
              <w:jc w:val="left"/>
              <w:rPr>
                <w:rFonts w:hint="eastAsia" w:ascii="宋体" w:hAnsi="宋体" w:cs="宋体"/>
                <w:kern w:val="0"/>
                <w:sz w:val="18"/>
                <w:szCs w:val="18"/>
              </w:rPr>
            </w:pPr>
            <w:r>
              <w:rPr>
                <w:rFonts w:hint="eastAsia" w:ascii="宋体" w:hAnsi="宋体" w:cs="宋体"/>
                <w:kern w:val="0"/>
                <w:sz w:val="18"/>
                <w:szCs w:val="18"/>
              </w:rPr>
              <w:t>营业收入（Y）</w:t>
            </w:r>
          </w:p>
        </w:tc>
        <w:tc>
          <w:tcPr>
            <w:tcW w:w="983" w:type="dxa"/>
            <w:tcBorders>
              <w:top w:val="nil"/>
              <w:left w:val="nil"/>
              <w:bottom w:val="single" w:color="auto" w:sz="4" w:space="0"/>
              <w:right w:val="single" w:color="auto" w:sz="4" w:space="0"/>
            </w:tcBorders>
            <w:noWrap w:val="0"/>
            <w:vAlign w:val="center"/>
          </w:tcPr>
          <w:p w14:paraId="0276B233">
            <w:pPr>
              <w:keepNext w:val="0"/>
              <w:keepLines w:val="0"/>
              <w:widowControl/>
              <w:suppressLineNumbers w:val="0"/>
              <w:spacing w:before="0" w:beforeAutospacing="0" w:after="0" w:afterAutospacing="0"/>
              <w:ind w:left="0" w:right="0"/>
              <w:jc w:val="left"/>
              <w:rPr>
                <w:rFonts w:hint="eastAsia" w:ascii="宋体" w:hAnsi="宋体" w:cs="宋体"/>
                <w:kern w:val="0"/>
                <w:sz w:val="18"/>
                <w:szCs w:val="18"/>
              </w:rPr>
            </w:pPr>
            <w:r>
              <w:rPr>
                <w:rFonts w:hint="eastAsia" w:ascii="宋体" w:hAnsi="宋体" w:cs="宋体"/>
                <w:kern w:val="0"/>
                <w:sz w:val="18"/>
                <w:szCs w:val="18"/>
              </w:rPr>
              <w:t>万元</w:t>
            </w:r>
          </w:p>
        </w:tc>
        <w:tc>
          <w:tcPr>
            <w:tcW w:w="1743" w:type="dxa"/>
            <w:tcBorders>
              <w:top w:val="nil"/>
              <w:left w:val="nil"/>
              <w:bottom w:val="single" w:color="auto" w:sz="4" w:space="0"/>
              <w:right w:val="single" w:color="auto" w:sz="4" w:space="0"/>
            </w:tcBorders>
            <w:noWrap w:val="0"/>
            <w:vAlign w:val="center"/>
          </w:tcPr>
          <w:p w14:paraId="19FF80E4">
            <w:pPr>
              <w:keepNext w:val="0"/>
              <w:keepLines w:val="0"/>
              <w:widowControl/>
              <w:suppressLineNumbers w:val="0"/>
              <w:spacing w:before="0" w:beforeAutospacing="0" w:after="0" w:afterAutospacing="0"/>
              <w:ind w:left="0" w:right="0"/>
              <w:jc w:val="left"/>
              <w:rPr>
                <w:rFonts w:hint="eastAsia" w:ascii="宋体" w:hAnsi="宋体" w:cs="宋体"/>
                <w:kern w:val="0"/>
                <w:sz w:val="18"/>
                <w:szCs w:val="18"/>
              </w:rPr>
            </w:pPr>
            <w:r>
              <w:rPr>
                <w:rFonts w:hint="eastAsia" w:ascii="宋体" w:hAnsi="宋体" w:cs="宋体"/>
                <w:kern w:val="0"/>
                <w:sz w:val="18"/>
                <w:szCs w:val="18"/>
              </w:rPr>
              <w:t>2000≤Y＜10000</w:t>
            </w:r>
          </w:p>
        </w:tc>
        <w:tc>
          <w:tcPr>
            <w:tcW w:w="1549" w:type="dxa"/>
            <w:tcBorders>
              <w:top w:val="nil"/>
              <w:left w:val="nil"/>
              <w:bottom w:val="single" w:color="auto" w:sz="4" w:space="0"/>
              <w:right w:val="single" w:color="auto" w:sz="4" w:space="0"/>
            </w:tcBorders>
            <w:noWrap w:val="0"/>
            <w:vAlign w:val="center"/>
          </w:tcPr>
          <w:p w14:paraId="279461BC">
            <w:pPr>
              <w:keepNext w:val="0"/>
              <w:keepLines w:val="0"/>
              <w:widowControl/>
              <w:suppressLineNumbers w:val="0"/>
              <w:spacing w:before="0" w:beforeAutospacing="0" w:after="0" w:afterAutospacing="0"/>
              <w:ind w:left="0" w:right="0"/>
              <w:jc w:val="left"/>
              <w:rPr>
                <w:rFonts w:hint="eastAsia" w:ascii="宋体" w:hAnsi="宋体" w:cs="宋体"/>
                <w:kern w:val="0"/>
                <w:sz w:val="18"/>
                <w:szCs w:val="18"/>
              </w:rPr>
            </w:pPr>
            <w:r>
              <w:rPr>
                <w:rFonts w:hint="eastAsia" w:ascii="宋体" w:hAnsi="宋体" w:cs="宋体"/>
                <w:kern w:val="0"/>
                <w:sz w:val="18"/>
                <w:szCs w:val="18"/>
              </w:rPr>
              <w:t>100≤Y＜2000</w:t>
            </w:r>
          </w:p>
        </w:tc>
        <w:tc>
          <w:tcPr>
            <w:tcW w:w="996" w:type="dxa"/>
            <w:tcBorders>
              <w:top w:val="nil"/>
              <w:left w:val="nil"/>
              <w:bottom w:val="single" w:color="auto" w:sz="4" w:space="0"/>
              <w:right w:val="single" w:color="auto" w:sz="4" w:space="0"/>
            </w:tcBorders>
            <w:noWrap w:val="0"/>
            <w:vAlign w:val="center"/>
          </w:tcPr>
          <w:p w14:paraId="67F3003B">
            <w:pPr>
              <w:keepNext w:val="0"/>
              <w:keepLines w:val="0"/>
              <w:widowControl/>
              <w:suppressLineNumbers w:val="0"/>
              <w:spacing w:before="0" w:beforeAutospacing="0" w:after="0" w:afterAutospacing="0"/>
              <w:ind w:left="0" w:right="0"/>
              <w:jc w:val="left"/>
              <w:rPr>
                <w:rFonts w:hint="eastAsia" w:ascii="宋体" w:hAnsi="宋体" w:cs="宋体"/>
                <w:kern w:val="0"/>
                <w:sz w:val="18"/>
                <w:szCs w:val="18"/>
              </w:rPr>
            </w:pPr>
            <w:r>
              <w:rPr>
                <w:rFonts w:hint="eastAsia" w:ascii="宋体" w:hAnsi="宋体" w:cs="宋体"/>
                <w:kern w:val="0"/>
                <w:sz w:val="18"/>
                <w:szCs w:val="18"/>
              </w:rPr>
              <w:t>Y＜100</w:t>
            </w:r>
          </w:p>
        </w:tc>
      </w:tr>
      <w:tr w14:paraId="0AE893F0">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noWrap w:val="0"/>
            <w:vAlign w:val="bottom"/>
          </w:tcPr>
          <w:p w14:paraId="48F3E1BE">
            <w:pPr>
              <w:keepNext w:val="0"/>
              <w:keepLines w:val="0"/>
              <w:widowControl/>
              <w:suppressLineNumbers w:val="0"/>
              <w:spacing w:before="0" w:beforeAutospacing="0" w:after="0" w:afterAutospacing="0"/>
              <w:ind w:left="0" w:right="0"/>
              <w:jc w:val="center"/>
              <w:rPr>
                <w:rFonts w:hint="eastAsia" w:ascii="宋体" w:hAnsi="宋体" w:cs="宋体"/>
                <w:b/>
                <w:bCs/>
                <w:kern w:val="0"/>
                <w:sz w:val="18"/>
                <w:szCs w:val="18"/>
              </w:rPr>
            </w:pPr>
            <w:r>
              <w:rPr>
                <w:rFonts w:hint="eastAsia" w:ascii="宋体" w:hAnsi="宋体" w:cs="宋体"/>
                <w:b/>
                <w:bCs/>
                <w:kern w:val="0"/>
                <w:sz w:val="18"/>
                <w:szCs w:val="18"/>
              </w:rPr>
              <w:t>信息传输业</w:t>
            </w:r>
          </w:p>
        </w:tc>
        <w:tc>
          <w:tcPr>
            <w:tcW w:w="1489" w:type="dxa"/>
            <w:tcBorders>
              <w:top w:val="nil"/>
              <w:left w:val="nil"/>
              <w:bottom w:val="single" w:color="auto" w:sz="4" w:space="0"/>
              <w:right w:val="single" w:color="auto" w:sz="4" w:space="0"/>
            </w:tcBorders>
            <w:noWrap w:val="0"/>
            <w:vAlign w:val="center"/>
          </w:tcPr>
          <w:p w14:paraId="1640C7BA">
            <w:pPr>
              <w:keepNext w:val="0"/>
              <w:keepLines w:val="0"/>
              <w:widowControl/>
              <w:suppressLineNumbers w:val="0"/>
              <w:spacing w:before="0" w:beforeAutospacing="0" w:after="0" w:afterAutospacing="0"/>
              <w:ind w:left="0" w:right="0"/>
              <w:jc w:val="left"/>
              <w:rPr>
                <w:rFonts w:hint="eastAsia" w:ascii="宋体" w:hAnsi="宋体" w:cs="宋体"/>
                <w:kern w:val="0"/>
                <w:sz w:val="18"/>
                <w:szCs w:val="18"/>
              </w:rPr>
            </w:pPr>
            <w:r>
              <w:rPr>
                <w:rFonts w:hint="eastAsia" w:ascii="宋体" w:hAnsi="宋体" w:cs="宋体"/>
                <w:kern w:val="0"/>
                <w:sz w:val="18"/>
                <w:szCs w:val="18"/>
              </w:rPr>
              <w:t>从业人员（X）</w:t>
            </w:r>
          </w:p>
        </w:tc>
        <w:tc>
          <w:tcPr>
            <w:tcW w:w="983" w:type="dxa"/>
            <w:tcBorders>
              <w:top w:val="nil"/>
              <w:left w:val="nil"/>
              <w:bottom w:val="single" w:color="auto" w:sz="4" w:space="0"/>
              <w:right w:val="single" w:color="auto" w:sz="4" w:space="0"/>
            </w:tcBorders>
            <w:noWrap w:val="0"/>
            <w:vAlign w:val="center"/>
          </w:tcPr>
          <w:p w14:paraId="2ACE6AA7">
            <w:pPr>
              <w:keepNext w:val="0"/>
              <w:keepLines w:val="0"/>
              <w:widowControl/>
              <w:suppressLineNumbers w:val="0"/>
              <w:spacing w:before="0" w:beforeAutospacing="0" w:after="0" w:afterAutospacing="0"/>
              <w:ind w:left="0" w:right="0"/>
              <w:jc w:val="left"/>
              <w:rPr>
                <w:rFonts w:hint="eastAsia" w:ascii="宋体" w:hAnsi="宋体" w:cs="宋体"/>
                <w:kern w:val="0"/>
                <w:sz w:val="18"/>
                <w:szCs w:val="18"/>
              </w:rPr>
            </w:pPr>
            <w:r>
              <w:rPr>
                <w:rFonts w:hint="eastAsia" w:ascii="宋体" w:hAnsi="宋体" w:cs="宋体"/>
                <w:kern w:val="0"/>
                <w:sz w:val="18"/>
                <w:szCs w:val="18"/>
              </w:rPr>
              <w:t>人</w:t>
            </w:r>
          </w:p>
        </w:tc>
        <w:tc>
          <w:tcPr>
            <w:tcW w:w="1743" w:type="dxa"/>
            <w:tcBorders>
              <w:top w:val="nil"/>
              <w:left w:val="nil"/>
              <w:bottom w:val="single" w:color="auto" w:sz="4" w:space="0"/>
              <w:right w:val="single" w:color="auto" w:sz="4" w:space="0"/>
            </w:tcBorders>
            <w:noWrap w:val="0"/>
            <w:vAlign w:val="center"/>
          </w:tcPr>
          <w:p w14:paraId="24C86DC7">
            <w:pPr>
              <w:keepNext w:val="0"/>
              <w:keepLines w:val="0"/>
              <w:widowControl/>
              <w:suppressLineNumbers w:val="0"/>
              <w:spacing w:before="0" w:beforeAutospacing="0" w:after="0" w:afterAutospacing="0"/>
              <w:ind w:left="0" w:right="0"/>
              <w:jc w:val="left"/>
              <w:rPr>
                <w:rFonts w:hint="eastAsia" w:ascii="宋体" w:hAnsi="宋体" w:cs="宋体"/>
                <w:kern w:val="0"/>
                <w:sz w:val="18"/>
                <w:szCs w:val="18"/>
              </w:rPr>
            </w:pPr>
            <w:r>
              <w:rPr>
                <w:rFonts w:hint="eastAsia" w:ascii="宋体" w:hAnsi="宋体" w:cs="宋体"/>
                <w:kern w:val="0"/>
                <w:sz w:val="18"/>
                <w:szCs w:val="18"/>
              </w:rPr>
              <w:t>100≤X＜2000</w:t>
            </w:r>
          </w:p>
        </w:tc>
        <w:tc>
          <w:tcPr>
            <w:tcW w:w="1549" w:type="dxa"/>
            <w:tcBorders>
              <w:top w:val="nil"/>
              <w:left w:val="nil"/>
              <w:bottom w:val="single" w:color="auto" w:sz="4" w:space="0"/>
              <w:right w:val="single" w:color="auto" w:sz="4" w:space="0"/>
            </w:tcBorders>
            <w:noWrap w:val="0"/>
            <w:vAlign w:val="center"/>
          </w:tcPr>
          <w:p w14:paraId="07DD99B4">
            <w:pPr>
              <w:keepNext w:val="0"/>
              <w:keepLines w:val="0"/>
              <w:widowControl/>
              <w:suppressLineNumbers w:val="0"/>
              <w:spacing w:before="0" w:beforeAutospacing="0" w:after="0" w:afterAutospacing="0"/>
              <w:ind w:left="0" w:right="0"/>
              <w:jc w:val="left"/>
              <w:rPr>
                <w:rFonts w:hint="eastAsia" w:ascii="宋体" w:hAnsi="宋体" w:cs="宋体"/>
                <w:kern w:val="0"/>
                <w:sz w:val="18"/>
                <w:szCs w:val="18"/>
              </w:rPr>
            </w:pPr>
            <w:r>
              <w:rPr>
                <w:rFonts w:hint="eastAsia" w:ascii="宋体" w:hAnsi="宋体" w:cs="宋体"/>
                <w:kern w:val="0"/>
                <w:sz w:val="18"/>
                <w:szCs w:val="18"/>
              </w:rPr>
              <w:t>10≤X＜100</w:t>
            </w:r>
          </w:p>
        </w:tc>
        <w:tc>
          <w:tcPr>
            <w:tcW w:w="996" w:type="dxa"/>
            <w:tcBorders>
              <w:top w:val="nil"/>
              <w:left w:val="nil"/>
              <w:bottom w:val="single" w:color="auto" w:sz="4" w:space="0"/>
              <w:right w:val="single" w:color="auto" w:sz="4" w:space="0"/>
            </w:tcBorders>
            <w:noWrap w:val="0"/>
            <w:vAlign w:val="center"/>
          </w:tcPr>
          <w:p w14:paraId="355F5E92">
            <w:pPr>
              <w:keepNext w:val="0"/>
              <w:keepLines w:val="0"/>
              <w:widowControl/>
              <w:suppressLineNumbers w:val="0"/>
              <w:spacing w:before="0" w:beforeAutospacing="0" w:after="0" w:afterAutospacing="0"/>
              <w:ind w:left="0" w:right="0"/>
              <w:jc w:val="left"/>
              <w:rPr>
                <w:rFonts w:hint="eastAsia" w:ascii="宋体" w:hAnsi="宋体" w:cs="宋体"/>
                <w:kern w:val="0"/>
                <w:sz w:val="18"/>
                <w:szCs w:val="18"/>
              </w:rPr>
            </w:pPr>
            <w:r>
              <w:rPr>
                <w:rFonts w:hint="eastAsia" w:ascii="宋体" w:hAnsi="宋体" w:cs="宋体"/>
                <w:kern w:val="0"/>
                <w:sz w:val="18"/>
                <w:szCs w:val="18"/>
              </w:rPr>
              <w:t>X＜10</w:t>
            </w:r>
          </w:p>
        </w:tc>
      </w:tr>
      <w:tr w14:paraId="1D2A339E">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noWrap w:val="0"/>
            <w:vAlign w:val="center"/>
          </w:tcPr>
          <w:p w14:paraId="2CDF3656">
            <w:pPr>
              <w:keepNext w:val="0"/>
              <w:keepLines w:val="0"/>
              <w:widowControl/>
              <w:suppressLineNumbers w:val="0"/>
              <w:spacing w:before="0" w:beforeAutospacing="0" w:after="0" w:afterAutospacing="0"/>
              <w:ind w:left="0" w:right="0"/>
              <w:jc w:val="left"/>
              <w:rPr>
                <w:rFonts w:hint="default" w:ascii="宋体" w:hAnsi="宋体" w:cs="宋体"/>
                <w:b/>
                <w:bCs/>
                <w:kern w:val="0"/>
                <w:sz w:val="18"/>
                <w:szCs w:val="18"/>
              </w:rPr>
            </w:pPr>
          </w:p>
        </w:tc>
        <w:tc>
          <w:tcPr>
            <w:tcW w:w="1489" w:type="dxa"/>
            <w:tcBorders>
              <w:top w:val="nil"/>
              <w:left w:val="nil"/>
              <w:bottom w:val="single" w:color="auto" w:sz="4" w:space="0"/>
              <w:right w:val="single" w:color="auto" w:sz="4" w:space="0"/>
            </w:tcBorders>
            <w:noWrap w:val="0"/>
            <w:vAlign w:val="center"/>
          </w:tcPr>
          <w:p w14:paraId="6BA297D8">
            <w:pPr>
              <w:keepNext w:val="0"/>
              <w:keepLines w:val="0"/>
              <w:widowControl/>
              <w:suppressLineNumbers w:val="0"/>
              <w:spacing w:before="0" w:beforeAutospacing="0" w:after="0" w:afterAutospacing="0"/>
              <w:ind w:left="0" w:right="0"/>
              <w:jc w:val="left"/>
              <w:rPr>
                <w:rFonts w:hint="eastAsia" w:ascii="宋体" w:hAnsi="宋体" w:cs="宋体"/>
                <w:kern w:val="0"/>
                <w:sz w:val="18"/>
                <w:szCs w:val="18"/>
              </w:rPr>
            </w:pPr>
            <w:r>
              <w:rPr>
                <w:rFonts w:hint="eastAsia" w:ascii="宋体" w:hAnsi="宋体" w:cs="宋体"/>
                <w:kern w:val="0"/>
                <w:sz w:val="18"/>
                <w:szCs w:val="18"/>
              </w:rPr>
              <w:t>营业收入（Y）</w:t>
            </w:r>
          </w:p>
        </w:tc>
        <w:tc>
          <w:tcPr>
            <w:tcW w:w="983" w:type="dxa"/>
            <w:tcBorders>
              <w:top w:val="nil"/>
              <w:left w:val="nil"/>
              <w:bottom w:val="single" w:color="auto" w:sz="4" w:space="0"/>
              <w:right w:val="single" w:color="auto" w:sz="4" w:space="0"/>
            </w:tcBorders>
            <w:noWrap w:val="0"/>
            <w:vAlign w:val="center"/>
          </w:tcPr>
          <w:p w14:paraId="285F07C4">
            <w:pPr>
              <w:keepNext w:val="0"/>
              <w:keepLines w:val="0"/>
              <w:widowControl/>
              <w:suppressLineNumbers w:val="0"/>
              <w:spacing w:before="0" w:beforeAutospacing="0" w:after="0" w:afterAutospacing="0"/>
              <w:ind w:left="0" w:right="0"/>
              <w:jc w:val="left"/>
              <w:rPr>
                <w:rFonts w:hint="eastAsia" w:ascii="宋体" w:hAnsi="宋体" w:cs="宋体"/>
                <w:kern w:val="0"/>
                <w:sz w:val="18"/>
                <w:szCs w:val="18"/>
              </w:rPr>
            </w:pPr>
            <w:r>
              <w:rPr>
                <w:rFonts w:hint="eastAsia" w:ascii="宋体" w:hAnsi="宋体" w:cs="宋体"/>
                <w:kern w:val="0"/>
                <w:sz w:val="18"/>
                <w:szCs w:val="18"/>
              </w:rPr>
              <w:t>万元</w:t>
            </w:r>
          </w:p>
        </w:tc>
        <w:tc>
          <w:tcPr>
            <w:tcW w:w="1743" w:type="dxa"/>
            <w:tcBorders>
              <w:top w:val="nil"/>
              <w:left w:val="nil"/>
              <w:bottom w:val="single" w:color="auto" w:sz="4" w:space="0"/>
              <w:right w:val="single" w:color="auto" w:sz="4" w:space="0"/>
            </w:tcBorders>
            <w:noWrap w:val="0"/>
            <w:vAlign w:val="center"/>
          </w:tcPr>
          <w:p w14:paraId="484C3B84">
            <w:pPr>
              <w:keepNext w:val="0"/>
              <w:keepLines w:val="0"/>
              <w:widowControl/>
              <w:suppressLineNumbers w:val="0"/>
              <w:spacing w:before="0" w:beforeAutospacing="0" w:after="0" w:afterAutospacing="0"/>
              <w:ind w:left="0" w:right="0"/>
              <w:jc w:val="left"/>
              <w:rPr>
                <w:rFonts w:hint="eastAsia" w:ascii="宋体" w:hAnsi="宋体" w:cs="宋体"/>
                <w:kern w:val="0"/>
                <w:sz w:val="18"/>
                <w:szCs w:val="18"/>
              </w:rPr>
            </w:pPr>
            <w:r>
              <w:rPr>
                <w:rFonts w:hint="eastAsia" w:ascii="宋体" w:hAnsi="宋体" w:cs="宋体"/>
                <w:kern w:val="0"/>
                <w:sz w:val="18"/>
                <w:szCs w:val="18"/>
              </w:rPr>
              <w:t>1000≤Y＜100000</w:t>
            </w:r>
          </w:p>
        </w:tc>
        <w:tc>
          <w:tcPr>
            <w:tcW w:w="1549" w:type="dxa"/>
            <w:tcBorders>
              <w:top w:val="nil"/>
              <w:left w:val="nil"/>
              <w:bottom w:val="single" w:color="auto" w:sz="4" w:space="0"/>
              <w:right w:val="single" w:color="auto" w:sz="4" w:space="0"/>
            </w:tcBorders>
            <w:noWrap w:val="0"/>
            <w:vAlign w:val="center"/>
          </w:tcPr>
          <w:p w14:paraId="32140B0E">
            <w:pPr>
              <w:keepNext w:val="0"/>
              <w:keepLines w:val="0"/>
              <w:widowControl/>
              <w:suppressLineNumbers w:val="0"/>
              <w:spacing w:before="0" w:beforeAutospacing="0" w:after="0" w:afterAutospacing="0"/>
              <w:ind w:left="0" w:right="0"/>
              <w:jc w:val="left"/>
              <w:rPr>
                <w:rFonts w:hint="eastAsia" w:ascii="宋体" w:hAnsi="宋体" w:cs="宋体"/>
                <w:kern w:val="0"/>
                <w:sz w:val="18"/>
                <w:szCs w:val="18"/>
              </w:rPr>
            </w:pPr>
            <w:r>
              <w:rPr>
                <w:rFonts w:hint="eastAsia" w:ascii="宋体" w:hAnsi="宋体" w:cs="宋体"/>
                <w:kern w:val="0"/>
                <w:sz w:val="18"/>
                <w:szCs w:val="18"/>
              </w:rPr>
              <w:t>100≤Y＜1000</w:t>
            </w:r>
          </w:p>
        </w:tc>
        <w:tc>
          <w:tcPr>
            <w:tcW w:w="996" w:type="dxa"/>
            <w:tcBorders>
              <w:top w:val="nil"/>
              <w:left w:val="nil"/>
              <w:bottom w:val="single" w:color="auto" w:sz="4" w:space="0"/>
              <w:right w:val="single" w:color="auto" w:sz="4" w:space="0"/>
            </w:tcBorders>
            <w:noWrap w:val="0"/>
            <w:vAlign w:val="center"/>
          </w:tcPr>
          <w:p w14:paraId="2AF5AE95">
            <w:pPr>
              <w:keepNext w:val="0"/>
              <w:keepLines w:val="0"/>
              <w:widowControl/>
              <w:suppressLineNumbers w:val="0"/>
              <w:spacing w:before="0" w:beforeAutospacing="0" w:after="0" w:afterAutospacing="0"/>
              <w:ind w:left="0" w:right="0"/>
              <w:jc w:val="left"/>
              <w:rPr>
                <w:rFonts w:hint="eastAsia" w:ascii="宋体" w:hAnsi="宋体" w:cs="宋体"/>
                <w:kern w:val="0"/>
                <w:sz w:val="18"/>
                <w:szCs w:val="18"/>
              </w:rPr>
            </w:pPr>
            <w:r>
              <w:rPr>
                <w:rFonts w:hint="eastAsia" w:ascii="宋体" w:hAnsi="宋体" w:cs="宋体"/>
                <w:kern w:val="0"/>
                <w:sz w:val="18"/>
                <w:szCs w:val="18"/>
              </w:rPr>
              <w:t>Y＜100</w:t>
            </w:r>
          </w:p>
        </w:tc>
      </w:tr>
      <w:tr w14:paraId="00931879">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noWrap w:val="0"/>
            <w:vAlign w:val="bottom"/>
          </w:tcPr>
          <w:p w14:paraId="326481AA">
            <w:pPr>
              <w:keepNext w:val="0"/>
              <w:keepLines w:val="0"/>
              <w:widowControl/>
              <w:suppressLineNumbers w:val="0"/>
              <w:spacing w:before="0" w:beforeAutospacing="0" w:after="0" w:afterAutospacing="0"/>
              <w:ind w:left="0" w:right="0"/>
              <w:jc w:val="center"/>
              <w:rPr>
                <w:rFonts w:hint="eastAsia" w:ascii="宋体" w:hAnsi="宋体" w:cs="宋体"/>
                <w:b/>
                <w:bCs/>
                <w:kern w:val="0"/>
                <w:sz w:val="18"/>
                <w:szCs w:val="18"/>
              </w:rPr>
            </w:pPr>
            <w:r>
              <w:rPr>
                <w:rFonts w:hint="eastAsia" w:ascii="宋体" w:hAnsi="宋体" w:cs="宋体"/>
                <w:b/>
                <w:bCs/>
                <w:kern w:val="0"/>
                <w:sz w:val="18"/>
                <w:szCs w:val="18"/>
              </w:rPr>
              <w:t>软件和信息技术服务业</w:t>
            </w:r>
          </w:p>
        </w:tc>
        <w:tc>
          <w:tcPr>
            <w:tcW w:w="1489" w:type="dxa"/>
            <w:tcBorders>
              <w:top w:val="nil"/>
              <w:left w:val="nil"/>
              <w:bottom w:val="single" w:color="auto" w:sz="4" w:space="0"/>
              <w:right w:val="single" w:color="auto" w:sz="4" w:space="0"/>
            </w:tcBorders>
            <w:noWrap w:val="0"/>
            <w:vAlign w:val="center"/>
          </w:tcPr>
          <w:p w14:paraId="00EC3B35">
            <w:pPr>
              <w:keepNext w:val="0"/>
              <w:keepLines w:val="0"/>
              <w:widowControl/>
              <w:suppressLineNumbers w:val="0"/>
              <w:spacing w:before="0" w:beforeAutospacing="0" w:after="0" w:afterAutospacing="0"/>
              <w:ind w:left="0" w:right="0"/>
              <w:jc w:val="left"/>
              <w:rPr>
                <w:rFonts w:hint="eastAsia" w:ascii="宋体" w:hAnsi="宋体" w:cs="宋体"/>
                <w:kern w:val="0"/>
                <w:sz w:val="18"/>
                <w:szCs w:val="18"/>
              </w:rPr>
            </w:pPr>
            <w:r>
              <w:rPr>
                <w:rFonts w:hint="eastAsia" w:ascii="宋体" w:hAnsi="宋体" w:cs="宋体"/>
                <w:kern w:val="0"/>
                <w:sz w:val="18"/>
                <w:szCs w:val="18"/>
              </w:rPr>
              <w:t>从业人员（X）</w:t>
            </w:r>
          </w:p>
        </w:tc>
        <w:tc>
          <w:tcPr>
            <w:tcW w:w="983" w:type="dxa"/>
            <w:tcBorders>
              <w:top w:val="nil"/>
              <w:left w:val="nil"/>
              <w:bottom w:val="single" w:color="auto" w:sz="4" w:space="0"/>
              <w:right w:val="single" w:color="auto" w:sz="4" w:space="0"/>
            </w:tcBorders>
            <w:noWrap w:val="0"/>
            <w:vAlign w:val="center"/>
          </w:tcPr>
          <w:p w14:paraId="6DF35AB8">
            <w:pPr>
              <w:keepNext w:val="0"/>
              <w:keepLines w:val="0"/>
              <w:widowControl/>
              <w:suppressLineNumbers w:val="0"/>
              <w:spacing w:before="0" w:beforeAutospacing="0" w:after="0" w:afterAutospacing="0"/>
              <w:ind w:left="0" w:right="0"/>
              <w:jc w:val="left"/>
              <w:rPr>
                <w:rFonts w:hint="eastAsia" w:ascii="宋体" w:hAnsi="宋体" w:cs="宋体"/>
                <w:kern w:val="0"/>
                <w:sz w:val="18"/>
                <w:szCs w:val="18"/>
              </w:rPr>
            </w:pPr>
            <w:r>
              <w:rPr>
                <w:rFonts w:hint="eastAsia" w:ascii="宋体" w:hAnsi="宋体" w:cs="宋体"/>
                <w:kern w:val="0"/>
                <w:sz w:val="18"/>
                <w:szCs w:val="18"/>
              </w:rPr>
              <w:t>人</w:t>
            </w:r>
          </w:p>
        </w:tc>
        <w:tc>
          <w:tcPr>
            <w:tcW w:w="1743" w:type="dxa"/>
            <w:tcBorders>
              <w:top w:val="nil"/>
              <w:left w:val="nil"/>
              <w:bottom w:val="single" w:color="auto" w:sz="4" w:space="0"/>
              <w:right w:val="single" w:color="auto" w:sz="4" w:space="0"/>
            </w:tcBorders>
            <w:noWrap w:val="0"/>
            <w:vAlign w:val="center"/>
          </w:tcPr>
          <w:p w14:paraId="005299F1">
            <w:pPr>
              <w:keepNext w:val="0"/>
              <w:keepLines w:val="0"/>
              <w:widowControl/>
              <w:suppressLineNumbers w:val="0"/>
              <w:spacing w:before="0" w:beforeAutospacing="0" w:after="0" w:afterAutospacing="0"/>
              <w:ind w:left="0" w:right="0"/>
              <w:jc w:val="left"/>
              <w:rPr>
                <w:rFonts w:hint="eastAsia" w:ascii="宋体" w:hAnsi="宋体" w:cs="宋体"/>
                <w:kern w:val="0"/>
                <w:sz w:val="18"/>
                <w:szCs w:val="18"/>
              </w:rPr>
            </w:pPr>
            <w:r>
              <w:rPr>
                <w:rFonts w:hint="eastAsia" w:ascii="宋体" w:hAnsi="宋体" w:cs="宋体"/>
                <w:kern w:val="0"/>
                <w:sz w:val="18"/>
                <w:szCs w:val="18"/>
              </w:rPr>
              <w:t>100≤X＜300</w:t>
            </w:r>
          </w:p>
        </w:tc>
        <w:tc>
          <w:tcPr>
            <w:tcW w:w="1549" w:type="dxa"/>
            <w:tcBorders>
              <w:top w:val="nil"/>
              <w:left w:val="nil"/>
              <w:bottom w:val="single" w:color="auto" w:sz="4" w:space="0"/>
              <w:right w:val="single" w:color="auto" w:sz="4" w:space="0"/>
            </w:tcBorders>
            <w:noWrap w:val="0"/>
            <w:vAlign w:val="center"/>
          </w:tcPr>
          <w:p w14:paraId="0B0B550D">
            <w:pPr>
              <w:keepNext w:val="0"/>
              <w:keepLines w:val="0"/>
              <w:widowControl/>
              <w:suppressLineNumbers w:val="0"/>
              <w:spacing w:before="0" w:beforeAutospacing="0" w:after="0" w:afterAutospacing="0"/>
              <w:ind w:left="0" w:right="0"/>
              <w:jc w:val="left"/>
              <w:rPr>
                <w:rFonts w:hint="eastAsia" w:ascii="宋体" w:hAnsi="宋体" w:cs="宋体"/>
                <w:kern w:val="0"/>
                <w:sz w:val="18"/>
                <w:szCs w:val="18"/>
              </w:rPr>
            </w:pPr>
            <w:r>
              <w:rPr>
                <w:rFonts w:hint="eastAsia" w:ascii="宋体" w:hAnsi="宋体" w:cs="宋体"/>
                <w:kern w:val="0"/>
                <w:sz w:val="18"/>
                <w:szCs w:val="18"/>
              </w:rPr>
              <w:t>10≤X＜100</w:t>
            </w:r>
          </w:p>
        </w:tc>
        <w:tc>
          <w:tcPr>
            <w:tcW w:w="996" w:type="dxa"/>
            <w:tcBorders>
              <w:top w:val="nil"/>
              <w:left w:val="nil"/>
              <w:bottom w:val="single" w:color="auto" w:sz="4" w:space="0"/>
              <w:right w:val="single" w:color="auto" w:sz="4" w:space="0"/>
            </w:tcBorders>
            <w:noWrap w:val="0"/>
            <w:vAlign w:val="center"/>
          </w:tcPr>
          <w:p w14:paraId="23A66B0E">
            <w:pPr>
              <w:keepNext w:val="0"/>
              <w:keepLines w:val="0"/>
              <w:widowControl/>
              <w:suppressLineNumbers w:val="0"/>
              <w:spacing w:before="0" w:beforeAutospacing="0" w:after="0" w:afterAutospacing="0"/>
              <w:ind w:left="0" w:right="0"/>
              <w:jc w:val="left"/>
              <w:rPr>
                <w:rFonts w:hint="eastAsia" w:ascii="宋体" w:hAnsi="宋体" w:cs="宋体"/>
                <w:kern w:val="0"/>
                <w:sz w:val="18"/>
                <w:szCs w:val="18"/>
              </w:rPr>
            </w:pPr>
            <w:r>
              <w:rPr>
                <w:rFonts w:hint="eastAsia" w:ascii="宋体" w:hAnsi="宋体" w:cs="宋体"/>
                <w:kern w:val="0"/>
                <w:sz w:val="18"/>
                <w:szCs w:val="18"/>
              </w:rPr>
              <w:t>X＜10</w:t>
            </w:r>
          </w:p>
        </w:tc>
      </w:tr>
      <w:tr w14:paraId="1F1E08D1">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noWrap w:val="0"/>
            <w:vAlign w:val="center"/>
          </w:tcPr>
          <w:p w14:paraId="142F0F87">
            <w:pPr>
              <w:keepNext w:val="0"/>
              <w:keepLines w:val="0"/>
              <w:widowControl/>
              <w:suppressLineNumbers w:val="0"/>
              <w:spacing w:before="0" w:beforeAutospacing="0" w:after="0" w:afterAutospacing="0"/>
              <w:ind w:left="0" w:right="0"/>
              <w:jc w:val="left"/>
              <w:rPr>
                <w:rFonts w:hint="default" w:ascii="宋体" w:hAnsi="宋体" w:cs="宋体"/>
                <w:b/>
                <w:bCs/>
                <w:kern w:val="0"/>
                <w:sz w:val="18"/>
                <w:szCs w:val="18"/>
              </w:rPr>
            </w:pPr>
          </w:p>
        </w:tc>
        <w:tc>
          <w:tcPr>
            <w:tcW w:w="1489" w:type="dxa"/>
            <w:tcBorders>
              <w:top w:val="nil"/>
              <w:left w:val="nil"/>
              <w:bottom w:val="single" w:color="auto" w:sz="4" w:space="0"/>
              <w:right w:val="single" w:color="auto" w:sz="4" w:space="0"/>
            </w:tcBorders>
            <w:noWrap w:val="0"/>
            <w:vAlign w:val="center"/>
          </w:tcPr>
          <w:p w14:paraId="657CAE69">
            <w:pPr>
              <w:keepNext w:val="0"/>
              <w:keepLines w:val="0"/>
              <w:widowControl/>
              <w:suppressLineNumbers w:val="0"/>
              <w:spacing w:before="0" w:beforeAutospacing="0" w:after="0" w:afterAutospacing="0"/>
              <w:ind w:left="0" w:right="0"/>
              <w:jc w:val="left"/>
              <w:rPr>
                <w:rFonts w:hint="eastAsia" w:ascii="宋体" w:hAnsi="宋体" w:cs="宋体"/>
                <w:kern w:val="0"/>
                <w:sz w:val="18"/>
                <w:szCs w:val="18"/>
              </w:rPr>
            </w:pPr>
            <w:r>
              <w:rPr>
                <w:rFonts w:hint="eastAsia" w:ascii="宋体" w:hAnsi="宋体" w:cs="宋体"/>
                <w:kern w:val="0"/>
                <w:sz w:val="18"/>
                <w:szCs w:val="18"/>
              </w:rPr>
              <w:t>营业收入（Y）</w:t>
            </w:r>
          </w:p>
        </w:tc>
        <w:tc>
          <w:tcPr>
            <w:tcW w:w="983" w:type="dxa"/>
            <w:tcBorders>
              <w:top w:val="nil"/>
              <w:left w:val="nil"/>
              <w:bottom w:val="single" w:color="auto" w:sz="4" w:space="0"/>
              <w:right w:val="single" w:color="auto" w:sz="4" w:space="0"/>
            </w:tcBorders>
            <w:noWrap w:val="0"/>
            <w:vAlign w:val="center"/>
          </w:tcPr>
          <w:p w14:paraId="5552200D">
            <w:pPr>
              <w:keepNext w:val="0"/>
              <w:keepLines w:val="0"/>
              <w:widowControl/>
              <w:suppressLineNumbers w:val="0"/>
              <w:spacing w:before="0" w:beforeAutospacing="0" w:after="0" w:afterAutospacing="0"/>
              <w:ind w:left="0" w:right="0"/>
              <w:jc w:val="left"/>
              <w:rPr>
                <w:rFonts w:hint="eastAsia" w:ascii="宋体" w:hAnsi="宋体" w:cs="宋体"/>
                <w:kern w:val="0"/>
                <w:sz w:val="18"/>
                <w:szCs w:val="18"/>
              </w:rPr>
            </w:pPr>
            <w:r>
              <w:rPr>
                <w:rFonts w:hint="eastAsia" w:ascii="宋体" w:hAnsi="宋体" w:cs="宋体"/>
                <w:kern w:val="0"/>
                <w:sz w:val="18"/>
                <w:szCs w:val="18"/>
              </w:rPr>
              <w:t>万元</w:t>
            </w:r>
          </w:p>
        </w:tc>
        <w:tc>
          <w:tcPr>
            <w:tcW w:w="1743" w:type="dxa"/>
            <w:tcBorders>
              <w:top w:val="nil"/>
              <w:left w:val="nil"/>
              <w:bottom w:val="single" w:color="auto" w:sz="4" w:space="0"/>
              <w:right w:val="single" w:color="auto" w:sz="4" w:space="0"/>
            </w:tcBorders>
            <w:noWrap w:val="0"/>
            <w:vAlign w:val="center"/>
          </w:tcPr>
          <w:p w14:paraId="43FC42AF">
            <w:pPr>
              <w:keepNext w:val="0"/>
              <w:keepLines w:val="0"/>
              <w:widowControl/>
              <w:suppressLineNumbers w:val="0"/>
              <w:spacing w:before="0" w:beforeAutospacing="0" w:after="0" w:afterAutospacing="0"/>
              <w:ind w:left="0" w:right="0"/>
              <w:jc w:val="left"/>
              <w:rPr>
                <w:rFonts w:hint="eastAsia" w:ascii="宋体" w:hAnsi="宋体" w:cs="宋体"/>
                <w:kern w:val="0"/>
                <w:sz w:val="18"/>
                <w:szCs w:val="18"/>
              </w:rPr>
            </w:pPr>
            <w:r>
              <w:rPr>
                <w:rFonts w:hint="eastAsia" w:ascii="宋体" w:hAnsi="宋体" w:cs="宋体"/>
                <w:kern w:val="0"/>
                <w:sz w:val="18"/>
                <w:szCs w:val="18"/>
              </w:rPr>
              <w:t>1000≤Y＜10000</w:t>
            </w:r>
          </w:p>
        </w:tc>
        <w:tc>
          <w:tcPr>
            <w:tcW w:w="1549" w:type="dxa"/>
            <w:tcBorders>
              <w:top w:val="nil"/>
              <w:left w:val="nil"/>
              <w:bottom w:val="single" w:color="auto" w:sz="4" w:space="0"/>
              <w:right w:val="single" w:color="auto" w:sz="4" w:space="0"/>
            </w:tcBorders>
            <w:noWrap w:val="0"/>
            <w:vAlign w:val="center"/>
          </w:tcPr>
          <w:p w14:paraId="2E5CEDE2">
            <w:pPr>
              <w:keepNext w:val="0"/>
              <w:keepLines w:val="0"/>
              <w:widowControl/>
              <w:suppressLineNumbers w:val="0"/>
              <w:spacing w:before="0" w:beforeAutospacing="0" w:after="0" w:afterAutospacing="0"/>
              <w:ind w:left="0" w:right="0"/>
              <w:jc w:val="left"/>
              <w:rPr>
                <w:rFonts w:hint="eastAsia" w:ascii="宋体" w:hAnsi="宋体" w:cs="宋体"/>
                <w:kern w:val="0"/>
                <w:sz w:val="18"/>
                <w:szCs w:val="18"/>
              </w:rPr>
            </w:pPr>
            <w:r>
              <w:rPr>
                <w:rFonts w:hint="eastAsia" w:ascii="宋体" w:hAnsi="宋体" w:cs="宋体"/>
                <w:kern w:val="0"/>
                <w:sz w:val="18"/>
                <w:szCs w:val="18"/>
              </w:rPr>
              <w:t>50≤Y＜1000</w:t>
            </w:r>
          </w:p>
        </w:tc>
        <w:tc>
          <w:tcPr>
            <w:tcW w:w="996" w:type="dxa"/>
            <w:tcBorders>
              <w:top w:val="nil"/>
              <w:left w:val="nil"/>
              <w:bottom w:val="single" w:color="auto" w:sz="4" w:space="0"/>
              <w:right w:val="single" w:color="auto" w:sz="4" w:space="0"/>
            </w:tcBorders>
            <w:noWrap w:val="0"/>
            <w:vAlign w:val="center"/>
          </w:tcPr>
          <w:p w14:paraId="3E1381D4">
            <w:pPr>
              <w:keepNext w:val="0"/>
              <w:keepLines w:val="0"/>
              <w:widowControl/>
              <w:suppressLineNumbers w:val="0"/>
              <w:spacing w:before="0" w:beforeAutospacing="0" w:after="0" w:afterAutospacing="0"/>
              <w:ind w:left="0" w:right="0"/>
              <w:jc w:val="left"/>
              <w:rPr>
                <w:rFonts w:hint="eastAsia" w:ascii="宋体" w:hAnsi="宋体" w:cs="宋体"/>
                <w:kern w:val="0"/>
                <w:sz w:val="18"/>
                <w:szCs w:val="18"/>
              </w:rPr>
            </w:pPr>
            <w:r>
              <w:rPr>
                <w:rFonts w:hint="eastAsia" w:ascii="宋体" w:hAnsi="宋体" w:cs="宋体"/>
                <w:kern w:val="0"/>
                <w:sz w:val="18"/>
                <w:szCs w:val="18"/>
              </w:rPr>
              <w:t>Y＜50</w:t>
            </w:r>
          </w:p>
        </w:tc>
      </w:tr>
      <w:tr w14:paraId="33326334">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noWrap w:val="0"/>
            <w:vAlign w:val="bottom"/>
          </w:tcPr>
          <w:p w14:paraId="190E3A7E">
            <w:pPr>
              <w:keepNext w:val="0"/>
              <w:keepLines w:val="0"/>
              <w:widowControl/>
              <w:suppressLineNumbers w:val="0"/>
              <w:spacing w:before="0" w:beforeAutospacing="0" w:after="0" w:afterAutospacing="0"/>
              <w:ind w:left="0" w:right="0"/>
              <w:jc w:val="center"/>
              <w:rPr>
                <w:rFonts w:hint="eastAsia" w:ascii="宋体" w:hAnsi="宋体" w:cs="宋体"/>
                <w:b/>
                <w:bCs/>
                <w:kern w:val="0"/>
                <w:sz w:val="18"/>
                <w:szCs w:val="18"/>
              </w:rPr>
            </w:pPr>
            <w:r>
              <w:rPr>
                <w:rFonts w:hint="eastAsia" w:ascii="宋体" w:hAnsi="宋体" w:cs="宋体"/>
                <w:b/>
                <w:bCs/>
                <w:kern w:val="0"/>
                <w:sz w:val="18"/>
                <w:szCs w:val="18"/>
              </w:rPr>
              <w:t>房地产开发经营</w:t>
            </w:r>
          </w:p>
        </w:tc>
        <w:tc>
          <w:tcPr>
            <w:tcW w:w="1489" w:type="dxa"/>
            <w:tcBorders>
              <w:top w:val="nil"/>
              <w:left w:val="nil"/>
              <w:bottom w:val="single" w:color="auto" w:sz="4" w:space="0"/>
              <w:right w:val="single" w:color="auto" w:sz="4" w:space="0"/>
            </w:tcBorders>
            <w:noWrap w:val="0"/>
            <w:vAlign w:val="center"/>
          </w:tcPr>
          <w:p w14:paraId="506D7025">
            <w:pPr>
              <w:keepNext w:val="0"/>
              <w:keepLines w:val="0"/>
              <w:widowControl/>
              <w:suppressLineNumbers w:val="0"/>
              <w:spacing w:before="0" w:beforeAutospacing="0" w:after="0" w:afterAutospacing="0"/>
              <w:ind w:left="0" w:right="0"/>
              <w:jc w:val="left"/>
              <w:rPr>
                <w:rFonts w:hint="eastAsia" w:ascii="宋体" w:hAnsi="宋体" w:cs="宋体"/>
                <w:kern w:val="0"/>
                <w:sz w:val="18"/>
                <w:szCs w:val="18"/>
              </w:rPr>
            </w:pPr>
            <w:r>
              <w:rPr>
                <w:rFonts w:hint="eastAsia" w:ascii="宋体" w:hAnsi="宋体" w:cs="宋体"/>
                <w:kern w:val="0"/>
                <w:sz w:val="18"/>
                <w:szCs w:val="18"/>
              </w:rPr>
              <w:t>营业收入（Y）</w:t>
            </w:r>
          </w:p>
        </w:tc>
        <w:tc>
          <w:tcPr>
            <w:tcW w:w="983" w:type="dxa"/>
            <w:tcBorders>
              <w:top w:val="nil"/>
              <w:left w:val="nil"/>
              <w:bottom w:val="single" w:color="auto" w:sz="4" w:space="0"/>
              <w:right w:val="single" w:color="auto" w:sz="4" w:space="0"/>
            </w:tcBorders>
            <w:noWrap w:val="0"/>
            <w:vAlign w:val="center"/>
          </w:tcPr>
          <w:p w14:paraId="27C41F64">
            <w:pPr>
              <w:keepNext w:val="0"/>
              <w:keepLines w:val="0"/>
              <w:widowControl/>
              <w:suppressLineNumbers w:val="0"/>
              <w:spacing w:before="0" w:beforeAutospacing="0" w:after="0" w:afterAutospacing="0"/>
              <w:ind w:left="0" w:right="0"/>
              <w:jc w:val="left"/>
              <w:rPr>
                <w:rFonts w:hint="eastAsia" w:ascii="宋体" w:hAnsi="宋体" w:cs="宋体"/>
                <w:kern w:val="0"/>
                <w:sz w:val="18"/>
                <w:szCs w:val="18"/>
              </w:rPr>
            </w:pPr>
            <w:r>
              <w:rPr>
                <w:rFonts w:hint="eastAsia" w:ascii="宋体" w:hAnsi="宋体" w:cs="宋体"/>
                <w:kern w:val="0"/>
                <w:sz w:val="18"/>
                <w:szCs w:val="18"/>
              </w:rPr>
              <w:t>万元</w:t>
            </w:r>
          </w:p>
        </w:tc>
        <w:tc>
          <w:tcPr>
            <w:tcW w:w="1743" w:type="dxa"/>
            <w:tcBorders>
              <w:top w:val="nil"/>
              <w:left w:val="nil"/>
              <w:bottom w:val="single" w:color="auto" w:sz="4" w:space="0"/>
              <w:right w:val="single" w:color="auto" w:sz="4" w:space="0"/>
            </w:tcBorders>
            <w:noWrap w:val="0"/>
            <w:vAlign w:val="center"/>
          </w:tcPr>
          <w:p w14:paraId="3DBF1B00">
            <w:pPr>
              <w:keepNext w:val="0"/>
              <w:keepLines w:val="0"/>
              <w:widowControl/>
              <w:suppressLineNumbers w:val="0"/>
              <w:spacing w:before="0" w:beforeAutospacing="0" w:after="0" w:afterAutospacing="0"/>
              <w:ind w:left="0" w:right="0"/>
              <w:jc w:val="left"/>
              <w:rPr>
                <w:rFonts w:hint="eastAsia" w:ascii="宋体" w:hAnsi="宋体" w:cs="宋体"/>
                <w:kern w:val="0"/>
                <w:sz w:val="18"/>
                <w:szCs w:val="18"/>
              </w:rPr>
            </w:pPr>
            <w:r>
              <w:rPr>
                <w:rFonts w:hint="eastAsia" w:ascii="宋体" w:hAnsi="宋体" w:cs="宋体"/>
                <w:kern w:val="0"/>
                <w:sz w:val="18"/>
                <w:szCs w:val="18"/>
              </w:rPr>
              <w:t>1000≤Y＜200000</w:t>
            </w:r>
          </w:p>
        </w:tc>
        <w:tc>
          <w:tcPr>
            <w:tcW w:w="1549" w:type="dxa"/>
            <w:tcBorders>
              <w:top w:val="nil"/>
              <w:left w:val="nil"/>
              <w:bottom w:val="single" w:color="auto" w:sz="4" w:space="0"/>
              <w:right w:val="single" w:color="auto" w:sz="4" w:space="0"/>
            </w:tcBorders>
            <w:noWrap w:val="0"/>
            <w:vAlign w:val="center"/>
          </w:tcPr>
          <w:p w14:paraId="70E1D1F5">
            <w:pPr>
              <w:keepNext w:val="0"/>
              <w:keepLines w:val="0"/>
              <w:widowControl/>
              <w:suppressLineNumbers w:val="0"/>
              <w:spacing w:before="0" w:beforeAutospacing="0" w:after="0" w:afterAutospacing="0"/>
              <w:ind w:left="0" w:right="0"/>
              <w:jc w:val="left"/>
              <w:rPr>
                <w:rFonts w:hint="eastAsia" w:ascii="宋体" w:hAnsi="宋体" w:cs="宋体"/>
                <w:kern w:val="0"/>
                <w:sz w:val="18"/>
                <w:szCs w:val="18"/>
              </w:rPr>
            </w:pPr>
            <w:r>
              <w:rPr>
                <w:rFonts w:hint="eastAsia" w:ascii="宋体" w:hAnsi="宋体" w:cs="宋体"/>
                <w:kern w:val="0"/>
                <w:sz w:val="18"/>
                <w:szCs w:val="18"/>
              </w:rPr>
              <w:t>100≤X＜1000</w:t>
            </w:r>
          </w:p>
        </w:tc>
        <w:tc>
          <w:tcPr>
            <w:tcW w:w="996" w:type="dxa"/>
            <w:tcBorders>
              <w:top w:val="nil"/>
              <w:left w:val="nil"/>
              <w:bottom w:val="single" w:color="auto" w:sz="4" w:space="0"/>
              <w:right w:val="single" w:color="auto" w:sz="4" w:space="0"/>
            </w:tcBorders>
            <w:noWrap w:val="0"/>
            <w:vAlign w:val="center"/>
          </w:tcPr>
          <w:p w14:paraId="403306CD">
            <w:pPr>
              <w:keepNext w:val="0"/>
              <w:keepLines w:val="0"/>
              <w:widowControl/>
              <w:suppressLineNumbers w:val="0"/>
              <w:spacing w:before="0" w:beforeAutospacing="0" w:after="0" w:afterAutospacing="0"/>
              <w:ind w:left="0" w:right="0"/>
              <w:jc w:val="left"/>
              <w:rPr>
                <w:rFonts w:hint="eastAsia" w:ascii="宋体" w:hAnsi="宋体" w:cs="宋体"/>
                <w:kern w:val="0"/>
                <w:sz w:val="18"/>
                <w:szCs w:val="18"/>
              </w:rPr>
            </w:pPr>
            <w:r>
              <w:rPr>
                <w:rFonts w:hint="eastAsia" w:ascii="宋体" w:hAnsi="宋体" w:cs="宋体"/>
                <w:kern w:val="0"/>
                <w:sz w:val="18"/>
                <w:szCs w:val="18"/>
              </w:rPr>
              <w:t>X＜100</w:t>
            </w:r>
          </w:p>
        </w:tc>
      </w:tr>
      <w:tr w14:paraId="188CBFC5">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noWrap w:val="0"/>
            <w:vAlign w:val="center"/>
          </w:tcPr>
          <w:p w14:paraId="5CCF87DE">
            <w:pPr>
              <w:keepNext w:val="0"/>
              <w:keepLines w:val="0"/>
              <w:widowControl/>
              <w:suppressLineNumbers w:val="0"/>
              <w:spacing w:before="0" w:beforeAutospacing="0" w:after="0" w:afterAutospacing="0"/>
              <w:ind w:left="0" w:right="0"/>
              <w:jc w:val="left"/>
              <w:rPr>
                <w:rFonts w:hint="default" w:ascii="宋体" w:hAnsi="宋体" w:cs="宋体"/>
                <w:b/>
                <w:bCs/>
                <w:kern w:val="0"/>
                <w:sz w:val="18"/>
                <w:szCs w:val="18"/>
              </w:rPr>
            </w:pPr>
          </w:p>
        </w:tc>
        <w:tc>
          <w:tcPr>
            <w:tcW w:w="1489" w:type="dxa"/>
            <w:tcBorders>
              <w:top w:val="nil"/>
              <w:left w:val="nil"/>
              <w:bottom w:val="single" w:color="auto" w:sz="4" w:space="0"/>
              <w:right w:val="single" w:color="auto" w:sz="4" w:space="0"/>
            </w:tcBorders>
            <w:noWrap w:val="0"/>
            <w:vAlign w:val="center"/>
          </w:tcPr>
          <w:p w14:paraId="04238191">
            <w:pPr>
              <w:keepNext w:val="0"/>
              <w:keepLines w:val="0"/>
              <w:widowControl/>
              <w:suppressLineNumbers w:val="0"/>
              <w:spacing w:before="0" w:beforeAutospacing="0" w:after="0" w:afterAutospacing="0"/>
              <w:ind w:left="0" w:right="0"/>
              <w:jc w:val="left"/>
              <w:rPr>
                <w:rFonts w:hint="eastAsia" w:ascii="宋体" w:hAnsi="宋体" w:cs="宋体"/>
                <w:kern w:val="0"/>
                <w:sz w:val="18"/>
                <w:szCs w:val="18"/>
              </w:rPr>
            </w:pPr>
            <w:r>
              <w:rPr>
                <w:rFonts w:hint="eastAsia" w:ascii="宋体" w:hAnsi="宋体" w:cs="宋体"/>
                <w:kern w:val="0"/>
                <w:sz w:val="18"/>
                <w:szCs w:val="18"/>
              </w:rPr>
              <w:t>资产总额（Z）</w:t>
            </w:r>
          </w:p>
        </w:tc>
        <w:tc>
          <w:tcPr>
            <w:tcW w:w="983" w:type="dxa"/>
            <w:tcBorders>
              <w:top w:val="nil"/>
              <w:left w:val="nil"/>
              <w:bottom w:val="single" w:color="auto" w:sz="4" w:space="0"/>
              <w:right w:val="single" w:color="auto" w:sz="4" w:space="0"/>
            </w:tcBorders>
            <w:noWrap w:val="0"/>
            <w:vAlign w:val="center"/>
          </w:tcPr>
          <w:p w14:paraId="0A93A66D">
            <w:pPr>
              <w:keepNext w:val="0"/>
              <w:keepLines w:val="0"/>
              <w:widowControl/>
              <w:suppressLineNumbers w:val="0"/>
              <w:spacing w:before="0" w:beforeAutospacing="0" w:after="0" w:afterAutospacing="0"/>
              <w:ind w:left="0" w:right="0"/>
              <w:jc w:val="left"/>
              <w:rPr>
                <w:rFonts w:hint="eastAsia" w:ascii="宋体" w:hAnsi="宋体" w:cs="宋体"/>
                <w:kern w:val="0"/>
                <w:sz w:val="18"/>
                <w:szCs w:val="18"/>
              </w:rPr>
            </w:pPr>
            <w:r>
              <w:rPr>
                <w:rFonts w:hint="eastAsia" w:ascii="宋体" w:hAnsi="宋体" w:cs="宋体"/>
                <w:kern w:val="0"/>
                <w:sz w:val="18"/>
                <w:szCs w:val="18"/>
              </w:rPr>
              <w:t>万元</w:t>
            </w:r>
          </w:p>
        </w:tc>
        <w:tc>
          <w:tcPr>
            <w:tcW w:w="1743" w:type="dxa"/>
            <w:tcBorders>
              <w:top w:val="nil"/>
              <w:left w:val="nil"/>
              <w:bottom w:val="single" w:color="auto" w:sz="4" w:space="0"/>
              <w:right w:val="single" w:color="auto" w:sz="4" w:space="0"/>
            </w:tcBorders>
            <w:noWrap w:val="0"/>
            <w:vAlign w:val="center"/>
          </w:tcPr>
          <w:p w14:paraId="142DB6C4">
            <w:pPr>
              <w:keepNext w:val="0"/>
              <w:keepLines w:val="0"/>
              <w:widowControl/>
              <w:suppressLineNumbers w:val="0"/>
              <w:spacing w:before="0" w:beforeAutospacing="0" w:after="0" w:afterAutospacing="0"/>
              <w:ind w:left="0" w:right="0"/>
              <w:jc w:val="left"/>
              <w:rPr>
                <w:rFonts w:hint="eastAsia" w:ascii="宋体" w:hAnsi="宋体" w:cs="宋体"/>
                <w:kern w:val="0"/>
                <w:sz w:val="18"/>
                <w:szCs w:val="18"/>
              </w:rPr>
            </w:pPr>
            <w:r>
              <w:rPr>
                <w:rFonts w:hint="eastAsia" w:ascii="宋体" w:hAnsi="宋体" w:cs="宋体"/>
                <w:kern w:val="0"/>
                <w:sz w:val="18"/>
                <w:szCs w:val="18"/>
              </w:rPr>
              <w:t>5000≤Z＜10000</w:t>
            </w:r>
          </w:p>
        </w:tc>
        <w:tc>
          <w:tcPr>
            <w:tcW w:w="1549" w:type="dxa"/>
            <w:tcBorders>
              <w:top w:val="nil"/>
              <w:left w:val="nil"/>
              <w:bottom w:val="single" w:color="auto" w:sz="4" w:space="0"/>
              <w:right w:val="single" w:color="auto" w:sz="4" w:space="0"/>
            </w:tcBorders>
            <w:noWrap w:val="0"/>
            <w:vAlign w:val="center"/>
          </w:tcPr>
          <w:p w14:paraId="34E2B974">
            <w:pPr>
              <w:keepNext w:val="0"/>
              <w:keepLines w:val="0"/>
              <w:widowControl/>
              <w:suppressLineNumbers w:val="0"/>
              <w:spacing w:before="0" w:beforeAutospacing="0" w:after="0" w:afterAutospacing="0"/>
              <w:ind w:left="0" w:right="0"/>
              <w:jc w:val="left"/>
              <w:rPr>
                <w:rFonts w:hint="eastAsia" w:ascii="宋体" w:hAnsi="宋体" w:cs="宋体"/>
                <w:kern w:val="0"/>
                <w:sz w:val="18"/>
                <w:szCs w:val="18"/>
              </w:rPr>
            </w:pPr>
            <w:r>
              <w:rPr>
                <w:rFonts w:hint="eastAsia" w:ascii="宋体" w:hAnsi="宋体" w:cs="宋体"/>
                <w:kern w:val="0"/>
                <w:sz w:val="18"/>
                <w:szCs w:val="18"/>
              </w:rPr>
              <w:t>2000≤Y＜5000</w:t>
            </w:r>
          </w:p>
        </w:tc>
        <w:tc>
          <w:tcPr>
            <w:tcW w:w="996" w:type="dxa"/>
            <w:tcBorders>
              <w:top w:val="nil"/>
              <w:left w:val="nil"/>
              <w:bottom w:val="single" w:color="auto" w:sz="4" w:space="0"/>
              <w:right w:val="single" w:color="auto" w:sz="4" w:space="0"/>
            </w:tcBorders>
            <w:noWrap w:val="0"/>
            <w:vAlign w:val="center"/>
          </w:tcPr>
          <w:p w14:paraId="10FDCF9C">
            <w:pPr>
              <w:keepNext w:val="0"/>
              <w:keepLines w:val="0"/>
              <w:widowControl/>
              <w:suppressLineNumbers w:val="0"/>
              <w:spacing w:before="0" w:beforeAutospacing="0" w:after="0" w:afterAutospacing="0"/>
              <w:ind w:left="0" w:right="0"/>
              <w:jc w:val="left"/>
              <w:rPr>
                <w:rFonts w:hint="eastAsia" w:ascii="宋体" w:hAnsi="宋体" w:cs="宋体"/>
                <w:kern w:val="0"/>
                <w:sz w:val="18"/>
                <w:szCs w:val="18"/>
              </w:rPr>
            </w:pPr>
            <w:r>
              <w:rPr>
                <w:rFonts w:hint="eastAsia" w:ascii="宋体" w:hAnsi="宋体" w:cs="宋体"/>
                <w:kern w:val="0"/>
                <w:sz w:val="18"/>
                <w:szCs w:val="18"/>
              </w:rPr>
              <w:t>Y＜2000</w:t>
            </w:r>
          </w:p>
        </w:tc>
      </w:tr>
      <w:tr w14:paraId="2E6B160D">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noWrap w:val="0"/>
            <w:vAlign w:val="bottom"/>
          </w:tcPr>
          <w:p w14:paraId="61A99370">
            <w:pPr>
              <w:keepNext w:val="0"/>
              <w:keepLines w:val="0"/>
              <w:widowControl/>
              <w:suppressLineNumbers w:val="0"/>
              <w:spacing w:before="0" w:beforeAutospacing="0" w:after="0" w:afterAutospacing="0"/>
              <w:ind w:left="0" w:right="0"/>
              <w:jc w:val="center"/>
              <w:rPr>
                <w:rFonts w:hint="eastAsia" w:ascii="宋体" w:hAnsi="宋体" w:cs="宋体"/>
                <w:b/>
                <w:bCs/>
                <w:kern w:val="0"/>
                <w:sz w:val="18"/>
                <w:szCs w:val="18"/>
              </w:rPr>
            </w:pPr>
            <w:r>
              <w:rPr>
                <w:rFonts w:hint="eastAsia" w:ascii="宋体" w:hAnsi="宋体" w:cs="宋体"/>
                <w:b/>
                <w:bCs/>
                <w:kern w:val="0"/>
                <w:sz w:val="18"/>
                <w:szCs w:val="18"/>
              </w:rPr>
              <w:t>物业管理</w:t>
            </w:r>
          </w:p>
        </w:tc>
        <w:tc>
          <w:tcPr>
            <w:tcW w:w="1489" w:type="dxa"/>
            <w:tcBorders>
              <w:top w:val="nil"/>
              <w:left w:val="nil"/>
              <w:bottom w:val="single" w:color="auto" w:sz="4" w:space="0"/>
              <w:right w:val="single" w:color="auto" w:sz="4" w:space="0"/>
            </w:tcBorders>
            <w:noWrap w:val="0"/>
            <w:vAlign w:val="center"/>
          </w:tcPr>
          <w:p w14:paraId="2C43B317">
            <w:pPr>
              <w:keepNext w:val="0"/>
              <w:keepLines w:val="0"/>
              <w:widowControl/>
              <w:suppressLineNumbers w:val="0"/>
              <w:spacing w:before="0" w:beforeAutospacing="0" w:after="0" w:afterAutospacing="0"/>
              <w:ind w:left="0" w:right="0"/>
              <w:jc w:val="left"/>
              <w:rPr>
                <w:rFonts w:hint="eastAsia" w:ascii="宋体" w:hAnsi="宋体" w:cs="宋体"/>
                <w:kern w:val="0"/>
                <w:sz w:val="18"/>
                <w:szCs w:val="18"/>
              </w:rPr>
            </w:pPr>
            <w:r>
              <w:rPr>
                <w:rFonts w:hint="eastAsia" w:ascii="宋体" w:hAnsi="宋体" w:cs="宋体"/>
                <w:kern w:val="0"/>
                <w:sz w:val="18"/>
                <w:szCs w:val="18"/>
              </w:rPr>
              <w:t>从业人员（X）</w:t>
            </w:r>
          </w:p>
        </w:tc>
        <w:tc>
          <w:tcPr>
            <w:tcW w:w="983" w:type="dxa"/>
            <w:tcBorders>
              <w:top w:val="nil"/>
              <w:left w:val="nil"/>
              <w:bottom w:val="single" w:color="auto" w:sz="4" w:space="0"/>
              <w:right w:val="single" w:color="auto" w:sz="4" w:space="0"/>
            </w:tcBorders>
            <w:noWrap w:val="0"/>
            <w:vAlign w:val="center"/>
          </w:tcPr>
          <w:p w14:paraId="50713319">
            <w:pPr>
              <w:keepNext w:val="0"/>
              <w:keepLines w:val="0"/>
              <w:widowControl/>
              <w:suppressLineNumbers w:val="0"/>
              <w:spacing w:before="0" w:beforeAutospacing="0" w:after="0" w:afterAutospacing="0"/>
              <w:ind w:left="0" w:right="0"/>
              <w:jc w:val="left"/>
              <w:rPr>
                <w:rFonts w:hint="eastAsia" w:ascii="宋体" w:hAnsi="宋体" w:cs="宋体"/>
                <w:kern w:val="0"/>
                <w:sz w:val="18"/>
                <w:szCs w:val="18"/>
              </w:rPr>
            </w:pPr>
            <w:r>
              <w:rPr>
                <w:rFonts w:hint="eastAsia" w:ascii="宋体" w:hAnsi="宋体" w:cs="宋体"/>
                <w:kern w:val="0"/>
                <w:sz w:val="18"/>
                <w:szCs w:val="18"/>
              </w:rPr>
              <w:t>人</w:t>
            </w:r>
          </w:p>
        </w:tc>
        <w:tc>
          <w:tcPr>
            <w:tcW w:w="1743" w:type="dxa"/>
            <w:tcBorders>
              <w:top w:val="nil"/>
              <w:left w:val="nil"/>
              <w:bottom w:val="single" w:color="auto" w:sz="4" w:space="0"/>
              <w:right w:val="single" w:color="auto" w:sz="4" w:space="0"/>
            </w:tcBorders>
            <w:noWrap w:val="0"/>
            <w:vAlign w:val="center"/>
          </w:tcPr>
          <w:p w14:paraId="502C55DE">
            <w:pPr>
              <w:keepNext w:val="0"/>
              <w:keepLines w:val="0"/>
              <w:widowControl/>
              <w:suppressLineNumbers w:val="0"/>
              <w:spacing w:before="0" w:beforeAutospacing="0" w:after="0" w:afterAutospacing="0"/>
              <w:ind w:left="0" w:right="0"/>
              <w:jc w:val="left"/>
              <w:rPr>
                <w:rFonts w:hint="eastAsia" w:ascii="宋体" w:hAnsi="宋体" w:cs="宋体"/>
                <w:kern w:val="0"/>
                <w:sz w:val="18"/>
                <w:szCs w:val="18"/>
              </w:rPr>
            </w:pPr>
            <w:r>
              <w:rPr>
                <w:rFonts w:hint="eastAsia" w:ascii="宋体" w:hAnsi="宋体" w:cs="宋体"/>
                <w:kern w:val="0"/>
                <w:sz w:val="18"/>
                <w:szCs w:val="18"/>
              </w:rPr>
              <w:t>300≤X＜1000</w:t>
            </w:r>
          </w:p>
        </w:tc>
        <w:tc>
          <w:tcPr>
            <w:tcW w:w="1549" w:type="dxa"/>
            <w:tcBorders>
              <w:top w:val="nil"/>
              <w:left w:val="nil"/>
              <w:bottom w:val="single" w:color="auto" w:sz="4" w:space="0"/>
              <w:right w:val="single" w:color="auto" w:sz="4" w:space="0"/>
            </w:tcBorders>
            <w:noWrap w:val="0"/>
            <w:vAlign w:val="center"/>
          </w:tcPr>
          <w:p w14:paraId="2E27BB4F">
            <w:pPr>
              <w:keepNext w:val="0"/>
              <w:keepLines w:val="0"/>
              <w:widowControl/>
              <w:suppressLineNumbers w:val="0"/>
              <w:spacing w:before="0" w:beforeAutospacing="0" w:after="0" w:afterAutospacing="0"/>
              <w:ind w:left="0" w:right="0"/>
              <w:jc w:val="left"/>
              <w:rPr>
                <w:rFonts w:hint="eastAsia" w:ascii="宋体" w:hAnsi="宋体" w:cs="宋体"/>
                <w:kern w:val="0"/>
                <w:sz w:val="18"/>
                <w:szCs w:val="18"/>
              </w:rPr>
            </w:pPr>
            <w:r>
              <w:rPr>
                <w:rFonts w:hint="eastAsia" w:ascii="宋体" w:hAnsi="宋体" w:cs="宋体"/>
                <w:kern w:val="0"/>
                <w:sz w:val="18"/>
                <w:szCs w:val="18"/>
              </w:rPr>
              <w:t>100≤X＜300</w:t>
            </w:r>
          </w:p>
        </w:tc>
        <w:tc>
          <w:tcPr>
            <w:tcW w:w="996" w:type="dxa"/>
            <w:tcBorders>
              <w:top w:val="nil"/>
              <w:left w:val="nil"/>
              <w:bottom w:val="single" w:color="auto" w:sz="4" w:space="0"/>
              <w:right w:val="single" w:color="auto" w:sz="4" w:space="0"/>
            </w:tcBorders>
            <w:noWrap w:val="0"/>
            <w:vAlign w:val="center"/>
          </w:tcPr>
          <w:p w14:paraId="674F7D9A">
            <w:pPr>
              <w:keepNext w:val="0"/>
              <w:keepLines w:val="0"/>
              <w:widowControl/>
              <w:suppressLineNumbers w:val="0"/>
              <w:spacing w:before="0" w:beforeAutospacing="0" w:after="0" w:afterAutospacing="0"/>
              <w:ind w:left="0" w:right="0"/>
              <w:jc w:val="left"/>
              <w:rPr>
                <w:rFonts w:hint="eastAsia" w:ascii="宋体" w:hAnsi="宋体" w:cs="宋体"/>
                <w:kern w:val="0"/>
                <w:sz w:val="18"/>
                <w:szCs w:val="18"/>
              </w:rPr>
            </w:pPr>
            <w:r>
              <w:rPr>
                <w:rFonts w:hint="eastAsia" w:ascii="宋体" w:hAnsi="宋体" w:cs="宋体"/>
                <w:kern w:val="0"/>
                <w:sz w:val="18"/>
                <w:szCs w:val="18"/>
              </w:rPr>
              <w:t>X＜100</w:t>
            </w:r>
          </w:p>
        </w:tc>
      </w:tr>
      <w:tr w14:paraId="1505684C">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noWrap w:val="0"/>
            <w:vAlign w:val="center"/>
          </w:tcPr>
          <w:p w14:paraId="28C820E9">
            <w:pPr>
              <w:keepNext w:val="0"/>
              <w:keepLines w:val="0"/>
              <w:widowControl/>
              <w:suppressLineNumbers w:val="0"/>
              <w:spacing w:before="0" w:beforeAutospacing="0" w:after="0" w:afterAutospacing="0"/>
              <w:ind w:left="0" w:right="0"/>
              <w:jc w:val="left"/>
              <w:rPr>
                <w:rFonts w:hint="default" w:ascii="宋体" w:hAnsi="宋体" w:cs="宋体"/>
                <w:b/>
                <w:bCs/>
                <w:kern w:val="0"/>
                <w:sz w:val="18"/>
                <w:szCs w:val="18"/>
              </w:rPr>
            </w:pPr>
          </w:p>
        </w:tc>
        <w:tc>
          <w:tcPr>
            <w:tcW w:w="1489" w:type="dxa"/>
            <w:tcBorders>
              <w:top w:val="nil"/>
              <w:left w:val="nil"/>
              <w:bottom w:val="single" w:color="auto" w:sz="4" w:space="0"/>
              <w:right w:val="single" w:color="auto" w:sz="4" w:space="0"/>
            </w:tcBorders>
            <w:noWrap w:val="0"/>
            <w:vAlign w:val="center"/>
          </w:tcPr>
          <w:p w14:paraId="3F9E5414">
            <w:pPr>
              <w:keepNext w:val="0"/>
              <w:keepLines w:val="0"/>
              <w:widowControl/>
              <w:suppressLineNumbers w:val="0"/>
              <w:spacing w:before="0" w:beforeAutospacing="0" w:after="0" w:afterAutospacing="0"/>
              <w:ind w:left="0" w:right="0"/>
              <w:jc w:val="left"/>
              <w:rPr>
                <w:rFonts w:hint="eastAsia" w:ascii="宋体" w:hAnsi="宋体" w:cs="宋体"/>
                <w:kern w:val="0"/>
                <w:sz w:val="18"/>
                <w:szCs w:val="18"/>
              </w:rPr>
            </w:pPr>
            <w:r>
              <w:rPr>
                <w:rFonts w:hint="eastAsia" w:ascii="宋体" w:hAnsi="宋体" w:cs="宋体"/>
                <w:kern w:val="0"/>
                <w:sz w:val="18"/>
                <w:szCs w:val="18"/>
              </w:rPr>
              <w:t>营业收入（Y）</w:t>
            </w:r>
          </w:p>
        </w:tc>
        <w:tc>
          <w:tcPr>
            <w:tcW w:w="983" w:type="dxa"/>
            <w:tcBorders>
              <w:top w:val="nil"/>
              <w:left w:val="nil"/>
              <w:bottom w:val="single" w:color="auto" w:sz="4" w:space="0"/>
              <w:right w:val="single" w:color="auto" w:sz="4" w:space="0"/>
            </w:tcBorders>
            <w:noWrap w:val="0"/>
            <w:vAlign w:val="center"/>
          </w:tcPr>
          <w:p w14:paraId="46076702">
            <w:pPr>
              <w:keepNext w:val="0"/>
              <w:keepLines w:val="0"/>
              <w:widowControl/>
              <w:suppressLineNumbers w:val="0"/>
              <w:spacing w:before="0" w:beforeAutospacing="0" w:after="0" w:afterAutospacing="0"/>
              <w:ind w:left="0" w:right="0"/>
              <w:jc w:val="left"/>
              <w:rPr>
                <w:rFonts w:hint="eastAsia" w:ascii="宋体" w:hAnsi="宋体" w:cs="宋体"/>
                <w:kern w:val="0"/>
                <w:sz w:val="18"/>
                <w:szCs w:val="18"/>
              </w:rPr>
            </w:pPr>
            <w:r>
              <w:rPr>
                <w:rFonts w:hint="eastAsia" w:ascii="宋体" w:hAnsi="宋体" w:cs="宋体"/>
                <w:kern w:val="0"/>
                <w:sz w:val="18"/>
                <w:szCs w:val="18"/>
              </w:rPr>
              <w:t>万元</w:t>
            </w:r>
          </w:p>
        </w:tc>
        <w:tc>
          <w:tcPr>
            <w:tcW w:w="1743" w:type="dxa"/>
            <w:tcBorders>
              <w:top w:val="nil"/>
              <w:left w:val="nil"/>
              <w:bottom w:val="single" w:color="auto" w:sz="4" w:space="0"/>
              <w:right w:val="single" w:color="auto" w:sz="4" w:space="0"/>
            </w:tcBorders>
            <w:noWrap w:val="0"/>
            <w:vAlign w:val="center"/>
          </w:tcPr>
          <w:p w14:paraId="5E74E495">
            <w:pPr>
              <w:keepNext w:val="0"/>
              <w:keepLines w:val="0"/>
              <w:widowControl/>
              <w:suppressLineNumbers w:val="0"/>
              <w:spacing w:before="0" w:beforeAutospacing="0" w:after="0" w:afterAutospacing="0"/>
              <w:ind w:left="0" w:right="0"/>
              <w:jc w:val="left"/>
              <w:rPr>
                <w:rFonts w:hint="eastAsia" w:ascii="宋体" w:hAnsi="宋体" w:cs="宋体"/>
                <w:kern w:val="0"/>
                <w:sz w:val="18"/>
                <w:szCs w:val="18"/>
              </w:rPr>
            </w:pPr>
            <w:r>
              <w:rPr>
                <w:rFonts w:hint="eastAsia" w:ascii="宋体" w:hAnsi="宋体" w:cs="宋体"/>
                <w:kern w:val="0"/>
                <w:sz w:val="18"/>
                <w:szCs w:val="18"/>
              </w:rPr>
              <w:t>1000≤Y＜5000</w:t>
            </w:r>
          </w:p>
        </w:tc>
        <w:tc>
          <w:tcPr>
            <w:tcW w:w="1549" w:type="dxa"/>
            <w:tcBorders>
              <w:top w:val="nil"/>
              <w:left w:val="nil"/>
              <w:bottom w:val="single" w:color="auto" w:sz="4" w:space="0"/>
              <w:right w:val="single" w:color="auto" w:sz="4" w:space="0"/>
            </w:tcBorders>
            <w:noWrap w:val="0"/>
            <w:vAlign w:val="center"/>
          </w:tcPr>
          <w:p w14:paraId="2D699306">
            <w:pPr>
              <w:keepNext w:val="0"/>
              <w:keepLines w:val="0"/>
              <w:widowControl/>
              <w:suppressLineNumbers w:val="0"/>
              <w:spacing w:before="0" w:beforeAutospacing="0" w:after="0" w:afterAutospacing="0"/>
              <w:ind w:left="0" w:right="0"/>
              <w:jc w:val="left"/>
              <w:rPr>
                <w:rFonts w:hint="eastAsia" w:ascii="宋体" w:hAnsi="宋体" w:cs="宋体"/>
                <w:kern w:val="0"/>
                <w:sz w:val="18"/>
                <w:szCs w:val="18"/>
              </w:rPr>
            </w:pPr>
            <w:r>
              <w:rPr>
                <w:rFonts w:hint="eastAsia" w:ascii="宋体" w:hAnsi="宋体" w:cs="宋体"/>
                <w:kern w:val="0"/>
                <w:sz w:val="18"/>
                <w:szCs w:val="18"/>
              </w:rPr>
              <w:t>500≤Y＜1000</w:t>
            </w:r>
          </w:p>
        </w:tc>
        <w:tc>
          <w:tcPr>
            <w:tcW w:w="996" w:type="dxa"/>
            <w:tcBorders>
              <w:top w:val="nil"/>
              <w:left w:val="nil"/>
              <w:bottom w:val="single" w:color="auto" w:sz="4" w:space="0"/>
              <w:right w:val="single" w:color="auto" w:sz="4" w:space="0"/>
            </w:tcBorders>
            <w:noWrap w:val="0"/>
            <w:vAlign w:val="center"/>
          </w:tcPr>
          <w:p w14:paraId="2C8DE078">
            <w:pPr>
              <w:keepNext w:val="0"/>
              <w:keepLines w:val="0"/>
              <w:widowControl/>
              <w:suppressLineNumbers w:val="0"/>
              <w:spacing w:before="0" w:beforeAutospacing="0" w:after="0" w:afterAutospacing="0"/>
              <w:ind w:left="0" w:right="0"/>
              <w:jc w:val="left"/>
              <w:rPr>
                <w:rFonts w:hint="eastAsia" w:ascii="宋体" w:hAnsi="宋体" w:cs="宋体"/>
                <w:kern w:val="0"/>
                <w:sz w:val="18"/>
                <w:szCs w:val="18"/>
              </w:rPr>
            </w:pPr>
            <w:r>
              <w:rPr>
                <w:rFonts w:hint="eastAsia" w:ascii="宋体" w:hAnsi="宋体" w:cs="宋体"/>
                <w:kern w:val="0"/>
                <w:sz w:val="18"/>
                <w:szCs w:val="18"/>
              </w:rPr>
              <w:t>Y＜500</w:t>
            </w:r>
          </w:p>
        </w:tc>
      </w:tr>
      <w:tr w14:paraId="5D3F2915">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noWrap w:val="0"/>
            <w:vAlign w:val="bottom"/>
          </w:tcPr>
          <w:p w14:paraId="3ACB3742">
            <w:pPr>
              <w:keepNext w:val="0"/>
              <w:keepLines w:val="0"/>
              <w:widowControl/>
              <w:suppressLineNumbers w:val="0"/>
              <w:spacing w:before="0" w:beforeAutospacing="0" w:after="0" w:afterAutospacing="0"/>
              <w:ind w:left="0" w:right="0"/>
              <w:jc w:val="center"/>
              <w:rPr>
                <w:rFonts w:hint="eastAsia" w:ascii="宋体" w:hAnsi="宋体" w:cs="宋体"/>
                <w:b/>
                <w:bCs/>
                <w:kern w:val="0"/>
                <w:sz w:val="18"/>
                <w:szCs w:val="18"/>
              </w:rPr>
            </w:pPr>
            <w:r>
              <w:rPr>
                <w:rFonts w:hint="eastAsia" w:ascii="宋体" w:hAnsi="宋体" w:cs="宋体"/>
                <w:b/>
                <w:bCs/>
                <w:kern w:val="0"/>
                <w:sz w:val="18"/>
                <w:szCs w:val="18"/>
              </w:rPr>
              <w:t>租赁和商务服务业</w:t>
            </w:r>
          </w:p>
        </w:tc>
        <w:tc>
          <w:tcPr>
            <w:tcW w:w="1489" w:type="dxa"/>
            <w:tcBorders>
              <w:top w:val="nil"/>
              <w:left w:val="nil"/>
              <w:bottom w:val="single" w:color="auto" w:sz="4" w:space="0"/>
              <w:right w:val="single" w:color="auto" w:sz="4" w:space="0"/>
            </w:tcBorders>
            <w:noWrap w:val="0"/>
            <w:vAlign w:val="center"/>
          </w:tcPr>
          <w:p w14:paraId="349E9EAF">
            <w:pPr>
              <w:keepNext w:val="0"/>
              <w:keepLines w:val="0"/>
              <w:widowControl/>
              <w:suppressLineNumbers w:val="0"/>
              <w:spacing w:before="0" w:beforeAutospacing="0" w:after="0" w:afterAutospacing="0"/>
              <w:ind w:left="0" w:right="0"/>
              <w:jc w:val="left"/>
              <w:rPr>
                <w:rFonts w:hint="eastAsia" w:ascii="宋体" w:hAnsi="宋体" w:cs="宋体"/>
                <w:kern w:val="0"/>
                <w:sz w:val="18"/>
                <w:szCs w:val="18"/>
              </w:rPr>
            </w:pPr>
            <w:r>
              <w:rPr>
                <w:rFonts w:hint="eastAsia" w:ascii="宋体" w:hAnsi="宋体" w:cs="宋体"/>
                <w:kern w:val="0"/>
                <w:sz w:val="18"/>
                <w:szCs w:val="18"/>
              </w:rPr>
              <w:t>从业人员（X）</w:t>
            </w:r>
          </w:p>
        </w:tc>
        <w:tc>
          <w:tcPr>
            <w:tcW w:w="983" w:type="dxa"/>
            <w:tcBorders>
              <w:top w:val="nil"/>
              <w:left w:val="nil"/>
              <w:bottom w:val="single" w:color="auto" w:sz="4" w:space="0"/>
              <w:right w:val="single" w:color="auto" w:sz="4" w:space="0"/>
            </w:tcBorders>
            <w:noWrap w:val="0"/>
            <w:vAlign w:val="center"/>
          </w:tcPr>
          <w:p w14:paraId="754A10D9">
            <w:pPr>
              <w:keepNext w:val="0"/>
              <w:keepLines w:val="0"/>
              <w:widowControl/>
              <w:suppressLineNumbers w:val="0"/>
              <w:spacing w:before="0" w:beforeAutospacing="0" w:after="0" w:afterAutospacing="0"/>
              <w:ind w:left="0" w:right="0"/>
              <w:jc w:val="left"/>
              <w:rPr>
                <w:rFonts w:hint="eastAsia" w:ascii="宋体" w:hAnsi="宋体" w:cs="宋体"/>
                <w:kern w:val="0"/>
                <w:sz w:val="18"/>
                <w:szCs w:val="18"/>
              </w:rPr>
            </w:pPr>
            <w:r>
              <w:rPr>
                <w:rFonts w:hint="eastAsia" w:ascii="宋体" w:hAnsi="宋体" w:cs="宋体"/>
                <w:kern w:val="0"/>
                <w:sz w:val="18"/>
                <w:szCs w:val="18"/>
              </w:rPr>
              <w:t>人</w:t>
            </w:r>
          </w:p>
        </w:tc>
        <w:tc>
          <w:tcPr>
            <w:tcW w:w="1743" w:type="dxa"/>
            <w:tcBorders>
              <w:top w:val="nil"/>
              <w:left w:val="nil"/>
              <w:bottom w:val="single" w:color="auto" w:sz="4" w:space="0"/>
              <w:right w:val="single" w:color="auto" w:sz="4" w:space="0"/>
            </w:tcBorders>
            <w:noWrap w:val="0"/>
            <w:vAlign w:val="center"/>
          </w:tcPr>
          <w:p w14:paraId="55D6E82E">
            <w:pPr>
              <w:keepNext w:val="0"/>
              <w:keepLines w:val="0"/>
              <w:widowControl/>
              <w:suppressLineNumbers w:val="0"/>
              <w:spacing w:before="0" w:beforeAutospacing="0" w:after="0" w:afterAutospacing="0"/>
              <w:ind w:left="0" w:right="0"/>
              <w:jc w:val="left"/>
              <w:rPr>
                <w:rFonts w:hint="eastAsia" w:ascii="宋体" w:hAnsi="宋体" w:cs="宋体"/>
                <w:kern w:val="0"/>
                <w:sz w:val="18"/>
                <w:szCs w:val="18"/>
              </w:rPr>
            </w:pPr>
            <w:r>
              <w:rPr>
                <w:rFonts w:hint="eastAsia" w:ascii="宋体" w:hAnsi="宋体" w:cs="宋体"/>
                <w:kern w:val="0"/>
                <w:sz w:val="18"/>
                <w:szCs w:val="18"/>
              </w:rPr>
              <w:t>100≤X＜300</w:t>
            </w:r>
          </w:p>
        </w:tc>
        <w:tc>
          <w:tcPr>
            <w:tcW w:w="1549" w:type="dxa"/>
            <w:tcBorders>
              <w:top w:val="nil"/>
              <w:left w:val="nil"/>
              <w:bottom w:val="single" w:color="auto" w:sz="4" w:space="0"/>
              <w:right w:val="single" w:color="auto" w:sz="4" w:space="0"/>
            </w:tcBorders>
            <w:noWrap w:val="0"/>
            <w:vAlign w:val="center"/>
          </w:tcPr>
          <w:p w14:paraId="3E9ED6E0">
            <w:pPr>
              <w:keepNext w:val="0"/>
              <w:keepLines w:val="0"/>
              <w:widowControl/>
              <w:suppressLineNumbers w:val="0"/>
              <w:spacing w:before="0" w:beforeAutospacing="0" w:after="0" w:afterAutospacing="0"/>
              <w:ind w:left="0" w:right="0"/>
              <w:jc w:val="left"/>
              <w:rPr>
                <w:rFonts w:hint="eastAsia" w:ascii="宋体" w:hAnsi="宋体" w:cs="宋体"/>
                <w:kern w:val="0"/>
                <w:sz w:val="18"/>
                <w:szCs w:val="18"/>
              </w:rPr>
            </w:pPr>
            <w:r>
              <w:rPr>
                <w:rFonts w:hint="eastAsia" w:ascii="宋体" w:hAnsi="宋体" w:cs="宋体"/>
                <w:kern w:val="0"/>
                <w:sz w:val="18"/>
                <w:szCs w:val="18"/>
              </w:rPr>
              <w:t>10≤X＜100</w:t>
            </w:r>
          </w:p>
        </w:tc>
        <w:tc>
          <w:tcPr>
            <w:tcW w:w="996" w:type="dxa"/>
            <w:tcBorders>
              <w:top w:val="nil"/>
              <w:left w:val="nil"/>
              <w:bottom w:val="single" w:color="auto" w:sz="4" w:space="0"/>
              <w:right w:val="single" w:color="auto" w:sz="4" w:space="0"/>
            </w:tcBorders>
            <w:noWrap w:val="0"/>
            <w:vAlign w:val="center"/>
          </w:tcPr>
          <w:p w14:paraId="69611254">
            <w:pPr>
              <w:keepNext w:val="0"/>
              <w:keepLines w:val="0"/>
              <w:widowControl/>
              <w:suppressLineNumbers w:val="0"/>
              <w:spacing w:before="0" w:beforeAutospacing="0" w:after="0" w:afterAutospacing="0"/>
              <w:ind w:left="0" w:right="0"/>
              <w:jc w:val="left"/>
              <w:rPr>
                <w:rFonts w:hint="eastAsia" w:ascii="宋体" w:hAnsi="宋体" w:cs="宋体"/>
                <w:kern w:val="0"/>
                <w:sz w:val="18"/>
                <w:szCs w:val="18"/>
              </w:rPr>
            </w:pPr>
            <w:r>
              <w:rPr>
                <w:rFonts w:hint="eastAsia" w:ascii="宋体" w:hAnsi="宋体" w:cs="宋体"/>
                <w:kern w:val="0"/>
                <w:sz w:val="18"/>
                <w:szCs w:val="18"/>
              </w:rPr>
              <w:t>X＜10</w:t>
            </w:r>
          </w:p>
        </w:tc>
      </w:tr>
      <w:tr w14:paraId="1DE0F148">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noWrap w:val="0"/>
            <w:vAlign w:val="center"/>
          </w:tcPr>
          <w:p w14:paraId="33E1EC30">
            <w:pPr>
              <w:keepNext w:val="0"/>
              <w:keepLines w:val="0"/>
              <w:widowControl/>
              <w:suppressLineNumbers w:val="0"/>
              <w:spacing w:before="0" w:beforeAutospacing="0" w:after="0" w:afterAutospacing="0"/>
              <w:ind w:left="0" w:right="0"/>
              <w:jc w:val="left"/>
              <w:rPr>
                <w:rFonts w:hint="default" w:ascii="宋体" w:hAnsi="宋体" w:cs="宋体"/>
                <w:b/>
                <w:bCs/>
                <w:kern w:val="0"/>
                <w:sz w:val="18"/>
                <w:szCs w:val="18"/>
              </w:rPr>
            </w:pPr>
          </w:p>
        </w:tc>
        <w:tc>
          <w:tcPr>
            <w:tcW w:w="1489" w:type="dxa"/>
            <w:tcBorders>
              <w:top w:val="nil"/>
              <w:left w:val="nil"/>
              <w:bottom w:val="single" w:color="auto" w:sz="4" w:space="0"/>
              <w:right w:val="single" w:color="auto" w:sz="4" w:space="0"/>
            </w:tcBorders>
            <w:noWrap w:val="0"/>
            <w:vAlign w:val="center"/>
          </w:tcPr>
          <w:p w14:paraId="73FE5ED2">
            <w:pPr>
              <w:keepNext w:val="0"/>
              <w:keepLines w:val="0"/>
              <w:widowControl/>
              <w:suppressLineNumbers w:val="0"/>
              <w:spacing w:before="0" w:beforeAutospacing="0" w:after="0" w:afterAutospacing="0"/>
              <w:ind w:left="0" w:right="0"/>
              <w:jc w:val="left"/>
              <w:rPr>
                <w:rFonts w:hint="eastAsia" w:ascii="宋体" w:hAnsi="宋体" w:cs="宋体"/>
                <w:kern w:val="0"/>
                <w:sz w:val="18"/>
                <w:szCs w:val="18"/>
              </w:rPr>
            </w:pPr>
            <w:r>
              <w:rPr>
                <w:rFonts w:hint="eastAsia" w:ascii="宋体" w:hAnsi="宋体" w:cs="宋体"/>
                <w:kern w:val="0"/>
                <w:sz w:val="18"/>
                <w:szCs w:val="18"/>
              </w:rPr>
              <w:t>资产总额（Z）</w:t>
            </w:r>
          </w:p>
        </w:tc>
        <w:tc>
          <w:tcPr>
            <w:tcW w:w="983" w:type="dxa"/>
            <w:tcBorders>
              <w:top w:val="nil"/>
              <w:left w:val="nil"/>
              <w:bottom w:val="single" w:color="auto" w:sz="4" w:space="0"/>
              <w:right w:val="single" w:color="auto" w:sz="4" w:space="0"/>
            </w:tcBorders>
            <w:noWrap w:val="0"/>
            <w:vAlign w:val="center"/>
          </w:tcPr>
          <w:p w14:paraId="5AE10214">
            <w:pPr>
              <w:keepNext w:val="0"/>
              <w:keepLines w:val="0"/>
              <w:widowControl/>
              <w:suppressLineNumbers w:val="0"/>
              <w:spacing w:before="0" w:beforeAutospacing="0" w:after="0" w:afterAutospacing="0"/>
              <w:ind w:left="0" w:right="0"/>
              <w:jc w:val="left"/>
              <w:rPr>
                <w:rFonts w:hint="eastAsia" w:ascii="宋体" w:hAnsi="宋体" w:cs="宋体"/>
                <w:kern w:val="0"/>
                <w:sz w:val="18"/>
                <w:szCs w:val="18"/>
              </w:rPr>
            </w:pPr>
            <w:r>
              <w:rPr>
                <w:rFonts w:hint="eastAsia" w:ascii="宋体" w:hAnsi="宋体" w:cs="宋体"/>
                <w:kern w:val="0"/>
                <w:sz w:val="18"/>
                <w:szCs w:val="18"/>
              </w:rPr>
              <w:t>万元</w:t>
            </w:r>
          </w:p>
        </w:tc>
        <w:tc>
          <w:tcPr>
            <w:tcW w:w="1743" w:type="dxa"/>
            <w:tcBorders>
              <w:top w:val="nil"/>
              <w:left w:val="nil"/>
              <w:bottom w:val="single" w:color="auto" w:sz="4" w:space="0"/>
              <w:right w:val="single" w:color="auto" w:sz="4" w:space="0"/>
            </w:tcBorders>
            <w:noWrap w:val="0"/>
            <w:vAlign w:val="center"/>
          </w:tcPr>
          <w:p w14:paraId="71B32BE2">
            <w:pPr>
              <w:keepNext w:val="0"/>
              <w:keepLines w:val="0"/>
              <w:widowControl/>
              <w:suppressLineNumbers w:val="0"/>
              <w:spacing w:before="0" w:beforeAutospacing="0" w:after="0" w:afterAutospacing="0"/>
              <w:ind w:left="0" w:right="0"/>
              <w:jc w:val="left"/>
              <w:rPr>
                <w:rFonts w:hint="eastAsia" w:ascii="宋体" w:hAnsi="宋体" w:cs="宋体"/>
                <w:kern w:val="0"/>
                <w:sz w:val="18"/>
                <w:szCs w:val="18"/>
              </w:rPr>
            </w:pPr>
            <w:r>
              <w:rPr>
                <w:rFonts w:hint="eastAsia" w:ascii="宋体" w:hAnsi="宋体" w:cs="宋体"/>
                <w:kern w:val="0"/>
                <w:sz w:val="18"/>
                <w:szCs w:val="18"/>
              </w:rPr>
              <w:t>8000≤Z＜120000</w:t>
            </w:r>
          </w:p>
        </w:tc>
        <w:tc>
          <w:tcPr>
            <w:tcW w:w="1549" w:type="dxa"/>
            <w:tcBorders>
              <w:top w:val="nil"/>
              <w:left w:val="nil"/>
              <w:bottom w:val="single" w:color="auto" w:sz="4" w:space="0"/>
              <w:right w:val="single" w:color="auto" w:sz="4" w:space="0"/>
            </w:tcBorders>
            <w:noWrap w:val="0"/>
            <w:vAlign w:val="center"/>
          </w:tcPr>
          <w:p w14:paraId="31DB1EDD">
            <w:pPr>
              <w:keepNext w:val="0"/>
              <w:keepLines w:val="0"/>
              <w:widowControl/>
              <w:suppressLineNumbers w:val="0"/>
              <w:spacing w:before="0" w:beforeAutospacing="0" w:after="0" w:afterAutospacing="0"/>
              <w:ind w:left="0" w:right="0"/>
              <w:jc w:val="left"/>
              <w:rPr>
                <w:rFonts w:hint="eastAsia" w:ascii="宋体" w:hAnsi="宋体" w:cs="宋体"/>
                <w:kern w:val="0"/>
                <w:sz w:val="18"/>
                <w:szCs w:val="18"/>
              </w:rPr>
            </w:pPr>
            <w:r>
              <w:rPr>
                <w:rFonts w:hint="eastAsia" w:ascii="宋体" w:hAnsi="宋体" w:cs="宋体"/>
                <w:kern w:val="0"/>
                <w:sz w:val="18"/>
                <w:szCs w:val="18"/>
              </w:rPr>
              <w:t>100≤Z＜8000</w:t>
            </w:r>
          </w:p>
        </w:tc>
        <w:tc>
          <w:tcPr>
            <w:tcW w:w="996" w:type="dxa"/>
            <w:tcBorders>
              <w:top w:val="nil"/>
              <w:left w:val="nil"/>
              <w:bottom w:val="single" w:color="auto" w:sz="4" w:space="0"/>
              <w:right w:val="single" w:color="auto" w:sz="4" w:space="0"/>
            </w:tcBorders>
            <w:noWrap w:val="0"/>
            <w:vAlign w:val="center"/>
          </w:tcPr>
          <w:p w14:paraId="3BB21CA3">
            <w:pPr>
              <w:keepNext w:val="0"/>
              <w:keepLines w:val="0"/>
              <w:widowControl/>
              <w:suppressLineNumbers w:val="0"/>
              <w:spacing w:before="0" w:beforeAutospacing="0" w:after="0" w:afterAutospacing="0"/>
              <w:ind w:left="0" w:right="0"/>
              <w:jc w:val="left"/>
              <w:rPr>
                <w:rFonts w:hint="eastAsia" w:ascii="宋体" w:hAnsi="宋体" w:cs="宋体"/>
                <w:kern w:val="0"/>
                <w:sz w:val="18"/>
                <w:szCs w:val="18"/>
              </w:rPr>
            </w:pPr>
            <w:r>
              <w:rPr>
                <w:rFonts w:hint="eastAsia" w:ascii="宋体" w:hAnsi="宋体" w:cs="宋体"/>
                <w:kern w:val="0"/>
                <w:sz w:val="18"/>
                <w:szCs w:val="18"/>
              </w:rPr>
              <w:t>Y＜100</w:t>
            </w:r>
          </w:p>
        </w:tc>
      </w:tr>
      <w:tr w14:paraId="35FB5EA7">
        <w:tblPrEx>
          <w:tblCellMar>
            <w:top w:w="0" w:type="dxa"/>
            <w:left w:w="108" w:type="dxa"/>
            <w:bottom w:w="0" w:type="dxa"/>
            <w:right w:w="108" w:type="dxa"/>
          </w:tblCellMar>
        </w:tblPrEx>
        <w:trPr>
          <w:trHeight w:val="226" w:hRule="atLeast"/>
        </w:trPr>
        <w:tc>
          <w:tcPr>
            <w:tcW w:w="1831" w:type="dxa"/>
            <w:tcBorders>
              <w:top w:val="nil"/>
              <w:left w:val="single" w:color="auto" w:sz="4" w:space="0"/>
              <w:bottom w:val="single" w:color="auto" w:sz="4" w:space="0"/>
              <w:right w:val="single" w:color="auto" w:sz="4" w:space="0"/>
            </w:tcBorders>
            <w:noWrap w:val="0"/>
            <w:vAlign w:val="bottom"/>
          </w:tcPr>
          <w:p w14:paraId="54D4BB2F">
            <w:pPr>
              <w:keepNext w:val="0"/>
              <w:keepLines w:val="0"/>
              <w:widowControl/>
              <w:suppressLineNumbers w:val="0"/>
              <w:spacing w:before="0" w:beforeAutospacing="0" w:after="0" w:afterAutospacing="0"/>
              <w:ind w:left="0" w:right="0"/>
              <w:jc w:val="center"/>
              <w:rPr>
                <w:rFonts w:hint="eastAsia" w:ascii="宋体" w:hAnsi="宋体" w:cs="宋体"/>
                <w:b/>
                <w:bCs/>
                <w:kern w:val="0"/>
                <w:sz w:val="18"/>
                <w:szCs w:val="18"/>
              </w:rPr>
            </w:pPr>
            <w:r>
              <w:rPr>
                <w:rFonts w:hint="eastAsia" w:ascii="宋体" w:hAnsi="宋体" w:cs="宋体"/>
                <w:b/>
                <w:bCs/>
                <w:kern w:val="0"/>
                <w:sz w:val="18"/>
                <w:szCs w:val="18"/>
              </w:rPr>
              <w:t>其他未列明行业</w:t>
            </w:r>
          </w:p>
        </w:tc>
        <w:tc>
          <w:tcPr>
            <w:tcW w:w="1489" w:type="dxa"/>
            <w:tcBorders>
              <w:top w:val="nil"/>
              <w:left w:val="nil"/>
              <w:bottom w:val="single" w:color="auto" w:sz="4" w:space="0"/>
              <w:right w:val="single" w:color="auto" w:sz="4" w:space="0"/>
            </w:tcBorders>
            <w:noWrap w:val="0"/>
            <w:vAlign w:val="center"/>
          </w:tcPr>
          <w:p w14:paraId="1AFA9C1B">
            <w:pPr>
              <w:keepNext w:val="0"/>
              <w:keepLines w:val="0"/>
              <w:widowControl/>
              <w:suppressLineNumbers w:val="0"/>
              <w:spacing w:before="0" w:beforeAutospacing="0" w:after="0" w:afterAutospacing="0"/>
              <w:ind w:left="0" w:right="0"/>
              <w:jc w:val="left"/>
              <w:rPr>
                <w:rFonts w:hint="eastAsia" w:ascii="宋体" w:hAnsi="宋体" w:cs="宋体"/>
                <w:kern w:val="0"/>
                <w:sz w:val="18"/>
                <w:szCs w:val="18"/>
              </w:rPr>
            </w:pPr>
            <w:r>
              <w:rPr>
                <w:rFonts w:hint="eastAsia" w:ascii="宋体" w:hAnsi="宋体" w:cs="宋体"/>
                <w:kern w:val="0"/>
                <w:sz w:val="18"/>
                <w:szCs w:val="18"/>
              </w:rPr>
              <w:t>从业人员（X）</w:t>
            </w:r>
          </w:p>
        </w:tc>
        <w:tc>
          <w:tcPr>
            <w:tcW w:w="983" w:type="dxa"/>
            <w:tcBorders>
              <w:top w:val="nil"/>
              <w:left w:val="nil"/>
              <w:bottom w:val="single" w:color="auto" w:sz="4" w:space="0"/>
              <w:right w:val="single" w:color="auto" w:sz="4" w:space="0"/>
            </w:tcBorders>
            <w:noWrap w:val="0"/>
            <w:vAlign w:val="center"/>
          </w:tcPr>
          <w:p w14:paraId="3849BF3C">
            <w:pPr>
              <w:keepNext w:val="0"/>
              <w:keepLines w:val="0"/>
              <w:widowControl/>
              <w:suppressLineNumbers w:val="0"/>
              <w:spacing w:before="0" w:beforeAutospacing="0" w:after="0" w:afterAutospacing="0"/>
              <w:ind w:left="0" w:right="0"/>
              <w:jc w:val="left"/>
              <w:rPr>
                <w:rFonts w:hint="eastAsia" w:ascii="宋体" w:hAnsi="宋体" w:cs="宋体"/>
                <w:kern w:val="0"/>
                <w:sz w:val="18"/>
                <w:szCs w:val="18"/>
              </w:rPr>
            </w:pPr>
            <w:r>
              <w:rPr>
                <w:rFonts w:hint="eastAsia" w:ascii="宋体" w:hAnsi="宋体" w:cs="宋体"/>
                <w:kern w:val="0"/>
                <w:sz w:val="18"/>
                <w:szCs w:val="18"/>
              </w:rPr>
              <w:t>人</w:t>
            </w:r>
          </w:p>
        </w:tc>
        <w:tc>
          <w:tcPr>
            <w:tcW w:w="1743" w:type="dxa"/>
            <w:tcBorders>
              <w:top w:val="nil"/>
              <w:left w:val="nil"/>
              <w:bottom w:val="single" w:color="auto" w:sz="4" w:space="0"/>
              <w:right w:val="single" w:color="auto" w:sz="4" w:space="0"/>
            </w:tcBorders>
            <w:noWrap w:val="0"/>
            <w:vAlign w:val="center"/>
          </w:tcPr>
          <w:p w14:paraId="23871FCF">
            <w:pPr>
              <w:keepNext w:val="0"/>
              <w:keepLines w:val="0"/>
              <w:widowControl/>
              <w:suppressLineNumbers w:val="0"/>
              <w:spacing w:before="0" w:beforeAutospacing="0" w:after="0" w:afterAutospacing="0"/>
              <w:ind w:left="0" w:right="0"/>
              <w:jc w:val="left"/>
              <w:rPr>
                <w:rFonts w:hint="eastAsia" w:ascii="宋体" w:hAnsi="宋体" w:cs="宋体"/>
                <w:kern w:val="0"/>
                <w:sz w:val="18"/>
                <w:szCs w:val="18"/>
              </w:rPr>
            </w:pPr>
            <w:r>
              <w:rPr>
                <w:rFonts w:hint="eastAsia" w:ascii="宋体" w:hAnsi="宋体" w:cs="宋体"/>
                <w:kern w:val="0"/>
                <w:sz w:val="18"/>
                <w:szCs w:val="18"/>
              </w:rPr>
              <w:t>100≤X＜300</w:t>
            </w:r>
          </w:p>
        </w:tc>
        <w:tc>
          <w:tcPr>
            <w:tcW w:w="1549" w:type="dxa"/>
            <w:tcBorders>
              <w:top w:val="nil"/>
              <w:left w:val="nil"/>
              <w:bottom w:val="single" w:color="auto" w:sz="4" w:space="0"/>
              <w:right w:val="single" w:color="auto" w:sz="4" w:space="0"/>
            </w:tcBorders>
            <w:noWrap w:val="0"/>
            <w:vAlign w:val="center"/>
          </w:tcPr>
          <w:p w14:paraId="51ACB22A">
            <w:pPr>
              <w:keepNext w:val="0"/>
              <w:keepLines w:val="0"/>
              <w:widowControl/>
              <w:suppressLineNumbers w:val="0"/>
              <w:spacing w:before="0" w:beforeAutospacing="0" w:after="0" w:afterAutospacing="0"/>
              <w:ind w:left="0" w:right="0"/>
              <w:jc w:val="left"/>
              <w:rPr>
                <w:rFonts w:hint="eastAsia" w:ascii="宋体" w:hAnsi="宋体" w:cs="宋体"/>
                <w:kern w:val="0"/>
                <w:sz w:val="18"/>
                <w:szCs w:val="18"/>
              </w:rPr>
            </w:pPr>
            <w:r>
              <w:rPr>
                <w:rFonts w:hint="eastAsia" w:ascii="宋体" w:hAnsi="宋体" w:cs="宋体"/>
                <w:kern w:val="0"/>
                <w:sz w:val="18"/>
                <w:szCs w:val="18"/>
              </w:rPr>
              <w:t>10≤X＜100</w:t>
            </w:r>
          </w:p>
        </w:tc>
        <w:tc>
          <w:tcPr>
            <w:tcW w:w="996" w:type="dxa"/>
            <w:tcBorders>
              <w:top w:val="nil"/>
              <w:left w:val="nil"/>
              <w:bottom w:val="single" w:color="auto" w:sz="4" w:space="0"/>
              <w:right w:val="single" w:color="auto" w:sz="4" w:space="0"/>
            </w:tcBorders>
            <w:noWrap w:val="0"/>
            <w:vAlign w:val="center"/>
          </w:tcPr>
          <w:p w14:paraId="52F42523">
            <w:pPr>
              <w:keepNext w:val="0"/>
              <w:keepLines w:val="0"/>
              <w:widowControl/>
              <w:suppressLineNumbers w:val="0"/>
              <w:spacing w:before="0" w:beforeAutospacing="0" w:after="0" w:afterAutospacing="0"/>
              <w:ind w:left="0" w:right="0"/>
              <w:jc w:val="left"/>
              <w:rPr>
                <w:rFonts w:hint="eastAsia" w:ascii="宋体" w:hAnsi="宋体" w:cs="宋体"/>
                <w:kern w:val="0"/>
                <w:sz w:val="18"/>
                <w:szCs w:val="18"/>
              </w:rPr>
            </w:pPr>
            <w:r>
              <w:rPr>
                <w:rFonts w:hint="eastAsia" w:ascii="宋体" w:hAnsi="宋体" w:cs="宋体"/>
                <w:kern w:val="0"/>
                <w:sz w:val="18"/>
                <w:szCs w:val="18"/>
              </w:rPr>
              <w:t>X＜10</w:t>
            </w:r>
          </w:p>
        </w:tc>
      </w:tr>
    </w:tbl>
    <w:p w14:paraId="08E1C155">
      <w:pPr>
        <w:pStyle w:val="10"/>
        <w:spacing w:line="500" w:lineRule="exact"/>
        <w:ind w:firstLine="420" w:firstLineChars="200"/>
        <w:jc w:val="left"/>
        <w:rPr>
          <w:rFonts w:hint="eastAsia"/>
          <w:sz w:val="18"/>
          <w:szCs w:val="18"/>
        </w:rPr>
      </w:pPr>
      <w:r>
        <w:rPr>
          <w:rFonts w:hint="eastAsia" w:hAnsi="宋体" w:cs="Times New Roman"/>
        </w:rPr>
        <w:t>说明：上述标准参照《关于印发中小企业划型标准规定的通知》（工信部联企业[2011]300号），大型、中型和小型企业须同时满足所列指标的下限，否则下划一档；微型企业只须满足所列指标中的一项即可。</w:t>
      </w:r>
    </w:p>
    <w:p w14:paraId="7C1D49E5">
      <w:pPr>
        <w:snapToGrid w:val="0"/>
        <w:spacing w:before="156" w:beforeLines="50" w:after="50" w:line="400" w:lineRule="exact"/>
        <w:jc w:val="center"/>
        <w:rPr>
          <w:rFonts w:ascii="宋体" w:hAnsi="宋体"/>
          <w:b/>
          <w:kern w:val="0"/>
          <w:sz w:val="32"/>
          <w:szCs w:val="32"/>
          <w:highlight w:val="none"/>
        </w:rPr>
      </w:pPr>
    </w:p>
    <w:p w14:paraId="0740915D">
      <w:pPr>
        <w:spacing w:line="400" w:lineRule="exact"/>
        <w:ind w:left="420" w:hanging="420"/>
        <w:jc w:val="center"/>
        <w:rPr>
          <w:rFonts w:ascii="宋体" w:hAnsi="宋体"/>
          <w:b/>
          <w:kern w:val="0"/>
          <w:sz w:val="32"/>
          <w:szCs w:val="32"/>
          <w:highlight w:val="none"/>
        </w:rPr>
      </w:pPr>
    </w:p>
    <w:p w14:paraId="1D4E6797">
      <w:pPr>
        <w:spacing w:line="400" w:lineRule="exact"/>
        <w:ind w:left="420" w:hanging="420"/>
        <w:jc w:val="center"/>
        <w:rPr>
          <w:rFonts w:ascii="宋体" w:hAnsi="宋体"/>
          <w:b/>
          <w:kern w:val="0"/>
          <w:sz w:val="32"/>
          <w:szCs w:val="32"/>
          <w:highlight w:val="none"/>
        </w:rPr>
      </w:pPr>
    </w:p>
    <w:p w14:paraId="05F10B85">
      <w:pPr>
        <w:spacing w:line="400" w:lineRule="exact"/>
        <w:ind w:left="420" w:hanging="420"/>
        <w:jc w:val="center"/>
        <w:rPr>
          <w:rFonts w:ascii="宋体" w:hAnsi="宋体"/>
          <w:b/>
          <w:kern w:val="0"/>
          <w:sz w:val="32"/>
          <w:szCs w:val="32"/>
          <w:highlight w:val="none"/>
        </w:rPr>
      </w:pPr>
    </w:p>
    <w:p w14:paraId="6D3A2464">
      <w:pPr>
        <w:spacing w:line="400" w:lineRule="exact"/>
        <w:ind w:left="420" w:hanging="420"/>
        <w:jc w:val="center"/>
        <w:rPr>
          <w:rFonts w:ascii="宋体" w:hAnsi="宋体"/>
          <w:b/>
          <w:kern w:val="0"/>
          <w:sz w:val="32"/>
          <w:szCs w:val="32"/>
          <w:highlight w:val="none"/>
        </w:rPr>
      </w:pPr>
    </w:p>
    <w:p w14:paraId="0B596670">
      <w:pPr>
        <w:spacing w:line="400" w:lineRule="exact"/>
        <w:ind w:left="420" w:hanging="420"/>
        <w:jc w:val="center"/>
        <w:rPr>
          <w:rFonts w:ascii="宋体" w:hAnsi="宋体"/>
          <w:b/>
          <w:kern w:val="0"/>
          <w:sz w:val="32"/>
          <w:szCs w:val="32"/>
          <w:highlight w:val="none"/>
        </w:rPr>
      </w:pPr>
    </w:p>
    <w:p w14:paraId="1611FC96">
      <w:pPr>
        <w:spacing w:line="400" w:lineRule="exact"/>
        <w:ind w:left="420" w:hanging="420"/>
        <w:jc w:val="center"/>
        <w:rPr>
          <w:rFonts w:ascii="宋体" w:hAnsi="宋体"/>
          <w:b/>
          <w:kern w:val="0"/>
          <w:sz w:val="32"/>
          <w:szCs w:val="32"/>
          <w:highlight w:val="none"/>
        </w:rPr>
      </w:pPr>
    </w:p>
    <w:p w14:paraId="670C2E20">
      <w:pPr>
        <w:spacing w:line="400" w:lineRule="exact"/>
        <w:ind w:left="420" w:hanging="420"/>
        <w:jc w:val="center"/>
        <w:rPr>
          <w:rFonts w:ascii="宋体" w:hAnsi="宋体"/>
          <w:b/>
          <w:kern w:val="0"/>
          <w:sz w:val="32"/>
          <w:szCs w:val="32"/>
          <w:highlight w:val="none"/>
        </w:rPr>
      </w:pPr>
    </w:p>
    <w:p w14:paraId="0732A90D">
      <w:pPr>
        <w:spacing w:line="400" w:lineRule="exact"/>
        <w:ind w:left="420" w:hanging="420"/>
        <w:jc w:val="center"/>
        <w:rPr>
          <w:rFonts w:ascii="宋体" w:hAnsi="宋体"/>
          <w:b/>
          <w:kern w:val="0"/>
          <w:sz w:val="32"/>
          <w:szCs w:val="32"/>
          <w:highlight w:val="none"/>
        </w:rPr>
      </w:pPr>
    </w:p>
    <w:p w14:paraId="7110B14C">
      <w:pPr>
        <w:spacing w:line="400" w:lineRule="exact"/>
        <w:ind w:left="420" w:hanging="420"/>
        <w:jc w:val="center"/>
        <w:rPr>
          <w:rFonts w:ascii="宋体" w:hAnsi="宋体"/>
          <w:b/>
          <w:kern w:val="0"/>
          <w:sz w:val="32"/>
          <w:szCs w:val="32"/>
          <w:highlight w:val="none"/>
        </w:rPr>
      </w:pPr>
    </w:p>
    <w:p w14:paraId="20552BED">
      <w:pPr>
        <w:spacing w:line="400" w:lineRule="exact"/>
        <w:ind w:left="420" w:hanging="420"/>
        <w:jc w:val="center"/>
        <w:rPr>
          <w:rFonts w:ascii="宋体" w:hAnsi="宋体"/>
          <w:b/>
          <w:kern w:val="0"/>
          <w:sz w:val="32"/>
          <w:szCs w:val="32"/>
          <w:highlight w:val="none"/>
        </w:rPr>
      </w:pPr>
    </w:p>
    <w:p w14:paraId="0E9FC6AB">
      <w:pPr>
        <w:spacing w:line="400" w:lineRule="exact"/>
        <w:ind w:left="420" w:hanging="420"/>
        <w:jc w:val="center"/>
        <w:rPr>
          <w:rFonts w:ascii="宋体" w:hAnsi="宋体"/>
          <w:b/>
          <w:kern w:val="0"/>
          <w:sz w:val="32"/>
          <w:szCs w:val="32"/>
          <w:highlight w:val="none"/>
        </w:rPr>
      </w:pPr>
    </w:p>
    <w:p w14:paraId="5C14F10B">
      <w:pPr>
        <w:spacing w:line="400" w:lineRule="exact"/>
        <w:ind w:left="420" w:hanging="420"/>
        <w:jc w:val="center"/>
        <w:rPr>
          <w:rFonts w:ascii="宋体" w:hAnsi="宋体"/>
          <w:b/>
          <w:kern w:val="0"/>
          <w:sz w:val="32"/>
          <w:szCs w:val="32"/>
          <w:highlight w:val="none"/>
        </w:rPr>
      </w:pPr>
    </w:p>
    <w:p w14:paraId="47F6EAB1">
      <w:pPr>
        <w:spacing w:line="400" w:lineRule="exact"/>
        <w:ind w:left="420" w:hanging="420"/>
        <w:jc w:val="center"/>
        <w:rPr>
          <w:rFonts w:ascii="宋体" w:hAnsi="宋体"/>
          <w:b/>
          <w:kern w:val="0"/>
          <w:sz w:val="32"/>
          <w:szCs w:val="32"/>
          <w:highlight w:val="none"/>
        </w:rPr>
      </w:pPr>
    </w:p>
    <w:p w14:paraId="649E1FDA">
      <w:pPr>
        <w:spacing w:line="400" w:lineRule="exact"/>
        <w:rPr>
          <w:rFonts w:ascii="宋体" w:hAnsi="宋体"/>
          <w:b/>
          <w:kern w:val="0"/>
          <w:sz w:val="32"/>
          <w:szCs w:val="32"/>
          <w:highlight w:val="none"/>
        </w:rPr>
      </w:pPr>
    </w:p>
    <w:p w14:paraId="472AE8F3">
      <w:pPr>
        <w:pStyle w:val="17"/>
        <w:rPr>
          <w:kern w:val="0"/>
          <w:sz w:val="44"/>
          <w:szCs w:val="44"/>
          <w:highlight w:val="none"/>
        </w:rPr>
      </w:pPr>
      <w:bookmarkStart w:id="62" w:name="_Toc476258672"/>
      <w:bookmarkStart w:id="63" w:name="_Toc476258760"/>
      <w:r>
        <w:rPr>
          <w:rFonts w:hint="eastAsia"/>
          <w:kern w:val="0"/>
          <w:sz w:val="44"/>
          <w:szCs w:val="44"/>
          <w:highlight w:val="none"/>
        </w:rPr>
        <w:t>第五章  合同主要条款</w:t>
      </w:r>
      <w:bookmarkEnd w:id="62"/>
      <w:bookmarkEnd w:id="63"/>
    </w:p>
    <w:p w14:paraId="20F65B61">
      <w:pPr>
        <w:spacing w:line="300" w:lineRule="auto"/>
        <w:ind w:left="420" w:hanging="420"/>
        <w:jc w:val="center"/>
        <w:rPr>
          <w:rFonts w:ascii="黑体" w:hAnsi="宋体" w:eastAsia="黑体"/>
          <w:b/>
          <w:kern w:val="0"/>
          <w:sz w:val="32"/>
          <w:szCs w:val="32"/>
          <w:highlight w:val="none"/>
        </w:rPr>
      </w:pPr>
    </w:p>
    <w:p w14:paraId="64FAF073">
      <w:pPr>
        <w:spacing w:line="300" w:lineRule="auto"/>
        <w:ind w:left="420" w:hanging="420"/>
        <w:jc w:val="center"/>
        <w:rPr>
          <w:rFonts w:ascii="黑体" w:hAnsi="宋体" w:eastAsia="黑体"/>
          <w:b/>
          <w:kern w:val="0"/>
          <w:sz w:val="32"/>
          <w:szCs w:val="32"/>
          <w:highlight w:val="none"/>
        </w:rPr>
      </w:pPr>
    </w:p>
    <w:p w14:paraId="4CB14614">
      <w:pPr>
        <w:spacing w:line="300" w:lineRule="auto"/>
        <w:ind w:left="420" w:hanging="420"/>
        <w:jc w:val="center"/>
        <w:rPr>
          <w:rFonts w:ascii="黑体" w:hAnsi="宋体" w:eastAsia="黑体"/>
          <w:b/>
          <w:kern w:val="0"/>
          <w:sz w:val="32"/>
          <w:szCs w:val="32"/>
          <w:highlight w:val="none"/>
        </w:rPr>
      </w:pPr>
    </w:p>
    <w:p w14:paraId="7406035B">
      <w:pPr>
        <w:spacing w:line="300" w:lineRule="auto"/>
        <w:ind w:left="420" w:hanging="420"/>
        <w:jc w:val="center"/>
        <w:rPr>
          <w:rFonts w:ascii="黑体" w:hAnsi="宋体" w:eastAsia="黑体"/>
          <w:b/>
          <w:kern w:val="0"/>
          <w:sz w:val="32"/>
          <w:szCs w:val="32"/>
          <w:highlight w:val="none"/>
        </w:rPr>
      </w:pPr>
    </w:p>
    <w:p w14:paraId="1B4FA238">
      <w:pPr>
        <w:spacing w:line="300" w:lineRule="auto"/>
        <w:ind w:left="420" w:hanging="420"/>
        <w:jc w:val="center"/>
        <w:rPr>
          <w:rFonts w:ascii="黑体" w:hAnsi="宋体" w:eastAsia="黑体"/>
          <w:b/>
          <w:kern w:val="0"/>
          <w:sz w:val="32"/>
          <w:szCs w:val="32"/>
          <w:highlight w:val="none"/>
        </w:rPr>
      </w:pPr>
    </w:p>
    <w:p w14:paraId="63906D5E">
      <w:pPr>
        <w:spacing w:line="300" w:lineRule="auto"/>
        <w:ind w:left="420" w:hanging="420"/>
        <w:jc w:val="center"/>
        <w:rPr>
          <w:rFonts w:ascii="黑体" w:hAnsi="宋体" w:eastAsia="黑体"/>
          <w:b/>
          <w:kern w:val="0"/>
          <w:sz w:val="32"/>
          <w:szCs w:val="32"/>
          <w:highlight w:val="none"/>
        </w:rPr>
      </w:pPr>
    </w:p>
    <w:p w14:paraId="6D8A6B4C">
      <w:pPr>
        <w:spacing w:line="300" w:lineRule="auto"/>
        <w:ind w:left="420" w:hanging="420"/>
        <w:jc w:val="center"/>
        <w:rPr>
          <w:rFonts w:ascii="黑体" w:hAnsi="宋体" w:eastAsia="黑体"/>
          <w:b/>
          <w:kern w:val="0"/>
          <w:sz w:val="32"/>
          <w:szCs w:val="32"/>
          <w:highlight w:val="none"/>
        </w:rPr>
      </w:pPr>
    </w:p>
    <w:p w14:paraId="2FC23E8E">
      <w:pPr>
        <w:spacing w:line="300" w:lineRule="auto"/>
        <w:ind w:left="420" w:hanging="420"/>
        <w:jc w:val="center"/>
        <w:rPr>
          <w:rFonts w:ascii="黑体" w:hAnsi="宋体" w:eastAsia="黑体"/>
          <w:b/>
          <w:kern w:val="0"/>
          <w:sz w:val="32"/>
          <w:szCs w:val="32"/>
          <w:highlight w:val="none"/>
        </w:rPr>
      </w:pPr>
    </w:p>
    <w:p w14:paraId="74EB14DC">
      <w:pPr>
        <w:spacing w:line="300" w:lineRule="auto"/>
        <w:ind w:left="420" w:hanging="420"/>
        <w:jc w:val="center"/>
        <w:rPr>
          <w:rFonts w:ascii="黑体" w:hAnsi="宋体" w:eastAsia="黑体"/>
          <w:b/>
          <w:kern w:val="0"/>
          <w:sz w:val="32"/>
          <w:szCs w:val="32"/>
          <w:highlight w:val="none"/>
        </w:rPr>
      </w:pPr>
    </w:p>
    <w:p w14:paraId="61A2C3B5">
      <w:pPr>
        <w:spacing w:line="300" w:lineRule="auto"/>
        <w:ind w:left="420" w:hanging="420"/>
        <w:jc w:val="center"/>
        <w:rPr>
          <w:rFonts w:ascii="黑体" w:hAnsi="宋体" w:eastAsia="黑体"/>
          <w:b/>
          <w:kern w:val="0"/>
          <w:sz w:val="32"/>
          <w:szCs w:val="32"/>
          <w:highlight w:val="none"/>
        </w:rPr>
      </w:pPr>
    </w:p>
    <w:p w14:paraId="3AE5F1A3">
      <w:pPr>
        <w:spacing w:line="300" w:lineRule="auto"/>
        <w:ind w:left="420" w:hanging="420"/>
        <w:jc w:val="center"/>
        <w:rPr>
          <w:rFonts w:ascii="黑体" w:hAnsi="宋体" w:eastAsia="黑体"/>
          <w:b/>
          <w:kern w:val="0"/>
          <w:sz w:val="32"/>
          <w:szCs w:val="32"/>
          <w:highlight w:val="none"/>
        </w:rPr>
      </w:pPr>
    </w:p>
    <w:p w14:paraId="54A4A961">
      <w:pPr>
        <w:pStyle w:val="10"/>
        <w:spacing w:line="720" w:lineRule="auto"/>
        <w:ind w:right="420"/>
        <w:jc w:val="center"/>
        <w:rPr>
          <w:rFonts w:hAnsi="宋体"/>
          <w:b/>
          <w:bCs/>
          <w:sz w:val="32"/>
          <w:szCs w:val="32"/>
          <w:highlight w:val="none"/>
        </w:rPr>
      </w:pPr>
      <w:r>
        <w:rPr>
          <w:highlight w:val="none"/>
        </w:rPr>
        <w:br w:type="page"/>
      </w:r>
      <w:r>
        <w:rPr>
          <w:rFonts w:hint="eastAsia" w:hAnsi="宋体"/>
          <w:b/>
          <w:bCs/>
          <w:sz w:val="32"/>
          <w:szCs w:val="32"/>
          <w:highlight w:val="none"/>
        </w:rPr>
        <w:t>采购合同（格式）</w:t>
      </w:r>
    </w:p>
    <w:p w14:paraId="65D9BDD1">
      <w:pPr>
        <w:snapToGrid w:val="0"/>
        <w:spacing w:line="360" w:lineRule="exact"/>
        <w:ind w:right="480" w:firstLine="5985" w:firstLineChars="2850"/>
        <w:rPr>
          <w:rFonts w:ascii="宋体" w:hAnsi="宋体"/>
          <w:bCs/>
          <w:szCs w:val="21"/>
          <w:highlight w:val="none"/>
          <w:u w:val="single"/>
        </w:rPr>
      </w:pPr>
      <w:r>
        <w:rPr>
          <w:rFonts w:hint="eastAsia" w:ascii="宋体" w:hAnsi="宋体"/>
          <w:bCs/>
          <w:szCs w:val="21"/>
          <w:highlight w:val="none"/>
        </w:rPr>
        <w:t>合同编号：</w:t>
      </w:r>
    </w:p>
    <w:p w14:paraId="795A7C59">
      <w:pPr>
        <w:snapToGrid w:val="0"/>
        <w:spacing w:line="360" w:lineRule="exact"/>
        <w:rPr>
          <w:rFonts w:ascii="宋体" w:hAnsi="宋体"/>
          <w:szCs w:val="21"/>
          <w:highlight w:val="none"/>
        </w:rPr>
      </w:pPr>
    </w:p>
    <w:p w14:paraId="37EE8DD6">
      <w:pPr>
        <w:snapToGrid w:val="0"/>
        <w:spacing w:line="360" w:lineRule="exact"/>
        <w:rPr>
          <w:rFonts w:hint="eastAsia" w:ascii="宋体" w:hAnsi="宋体"/>
          <w:szCs w:val="21"/>
          <w:highlight w:val="none"/>
        </w:rPr>
      </w:pPr>
      <w:r>
        <w:rPr>
          <w:rFonts w:hint="eastAsia" w:ascii="宋体" w:hAnsi="宋体"/>
          <w:szCs w:val="21"/>
          <w:highlight w:val="none"/>
        </w:rPr>
        <w:t>采购单位（甲方）</w:t>
      </w:r>
      <w:r>
        <w:rPr>
          <w:rFonts w:hint="eastAsia" w:ascii="宋体" w:hAnsi="宋体"/>
          <w:szCs w:val="21"/>
          <w:highlight w:val="none"/>
          <w:u w:val="single"/>
        </w:rPr>
        <w:t xml:space="preserve">                          </w:t>
      </w:r>
      <w:r>
        <w:rPr>
          <w:rFonts w:hint="eastAsia" w:ascii="宋体" w:hAnsi="宋体"/>
          <w:szCs w:val="21"/>
          <w:highlight w:val="none"/>
        </w:rPr>
        <w:t xml:space="preserve">  </w:t>
      </w:r>
    </w:p>
    <w:p w14:paraId="0D6F949C">
      <w:pPr>
        <w:snapToGrid w:val="0"/>
        <w:spacing w:line="360" w:lineRule="exact"/>
        <w:rPr>
          <w:rFonts w:ascii="宋体" w:hAnsi="宋体"/>
          <w:szCs w:val="21"/>
          <w:highlight w:val="none"/>
          <w:u w:val="single"/>
        </w:rPr>
      </w:pPr>
      <w:r>
        <w:rPr>
          <w:rFonts w:hint="eastAsia" w:ascii="宋体" w:hAnsi="宋体"/>
          <w:szCs w:val="21"/>
          <w:highlight w:val="none"/>
        </w:rPr>
        <w:t>供 应 商（乙方）</w:t>
      </w:r>
      <w:r>
        <w:rPr>
          <w:rFonts w:hint="eastAsia" w:ascii="宋体" w:hAnsi="宋体"/>
          <w:szCs w:val="21"/>
          <w:highlight w:val="none"/>
          <w:u w:val="single"/>
        </w:rPr>
        <w:t xml:space="preserve">                          </w:t>
      </w:r>
      <w:r>
        <w:rPr>
          <w:rFonts w:hint="eastAsia" w:ascii="宋体" w:hAnsi="宋体"/>
          <w:szCs w:val="21"/>
          <w:highlight w:val="none"/>
        </w:rPr>
        <w:t xml:space="preserve">  项目名称</w:t>
      </w:r>
      <w:r>
        <w:rPr>
          <w:rFonts w:hint="eastAsia" w:ascii="宋体" w:hAnsi="宋体"/>
          <w:spacing w:val="-20"/>
          <w:szCs w:val="21"/>
          <w:highlight w:val="none"/>
        </w:rPr>
        <w:t>编号</w:t>
      </w:r>
      <w:r>
        <w:rPr>
          <w:rFonts w:hint="eastAsia" w:ascii="宋体" w:hAnsi="宋体"/>
          <w:szCs w:val="21"/>
          <w:highlight w:val="none"/>
          <w:u w:val="single"/>
        </w:rPr>
        <w:t xml:space="preserve">                       </w:t>
      </w:r>
    </w:p>
    <w:p w14:paraId="2B51E59A">
      <w:pPr>
        <w:snapToGrid w:val="0"/>
        <w:spacing w:line="360" w:lineRule="exact"/>
        <w:rPr>
          <w:rFonts w:ascii="宋体" w:hAnsi="宋体"/>
          <w:szCs w:val="21"/>
          <w:highlight w:val="none"/>
          <w:u w:val="single"/>
        </w:rPr>
      </w:pPr>
      <w:r>
        <w:rPr>
          <w:rFonts w:hint="eastAsia" w:ascii="宋体" w:hAnsi="宋体"/>
          <w:szCs w:val="21"/>
          <w:highlight w:val="none"/>
        </w:rPr>
        <w:t xml:space="preserve">签  订  地  点  </w:t>
      </w:r>
      <w:r>
        <w:rPr>
          <w:rFonts w:hint="eastAsia" w:ascii="宋体" w:hAnsi="宋体"/>
          <w:szCs w:val="21"/>
          <w:highlight w:val="none"/>
          <w:u w:val="single"/>
        </w:rPr>
        <w:t xml:space="preserve">                          </w:t>
      </w:r>
      <w:r>
        <w:rPr>
          <w:rFonts w:hint="eastAsia" w:ascii="宋体" w:hAnsi="宋体"/>
          <w:szCs w:val="21"/>
          <w:highlight w:val="none"/>
        </w:rPr>
        <w:t xml:space="preserve">  签 订 时 间</w:t>
      </w:r>
      <w:r>
        <w:rPr>
          <w:rFonts w:hint="eastAsia" w:ascii="宋体" w:hAnsi="宋体"/>
          <w:szCs w:val="21"/>
          <w:highlight w:val="none"/>
          <w:u w:val="single"/>
        </w:rPr>
        <w:t xml:space="preserve">                       </w:t>
      </w:r>
    </w:p>
    <w:p w14:paraId="37F160C3">
      <w:pPr>
        <w:snapToGrid w:val="0"/>
        <w:spacing w:line="360" w:lineRule="exact"/>
        <w:ind w:firstLine="420" w:firstLineChars="200"/>
        <w:rPr>
          <w:rFonts w:ascii="宋体" w:hAnsi="宋体"/>
          <w:szCs w:val="21"/>
          <w:highlight w:val="none"/>
        </w:rPr>
      </w:pPr>
    </w:p>
    <w:p w14:paraId="5AFD73B1">
      <w:pPr>
        <w:keepNext w:val="0"/>
        <w:keepLines w:val="0"/>
        <w:pageBreakBefore w:val="0"/>
        <w:widowControl w:val="0"/>
        <w:kinsoku/>
        <w:overflowPunct/>
        <w:topLinePunct w:val="0"/>
        <w:autoSpaceDE/>
        <w:autoSpaceDN/>
        <w:bidi w:val="0"/>
        <w:adjustRightInd/>
        <w:spacing w:line="380" w:lineRule="exact"/>
        <w:ind w:firstLine="420" w:firstLineChars="200"/>
        <w:textAlignment w:val="auto"/>
        <w:rPr>
          <w:rFonts w:ascii="宋体" w:hAnsi="Courier New" w:cs="Courier New"/>
          <w:szCs w:val="21"/>
          <w:highlight w:val="none"/>
        </w:rPr>
      </w:pPr>
      <w:r>
        <w:rPr>
          <w:rFonts w:hint="eastAsia" w:ascii="宋体" w:hAnsi="Courier New" w:cs="Courier New"/>
          <w:szCs w:val="21"/>
          <w:highlight w:val="none"/>
        </w:rPr>
        <w:t>根据《中华人民共和国政府采购法》、《中华人民共和国民法典》等法律、法规规定，按照采购文件规定条款和</w:t>
      </w:r>
      <w:r>
        <w:rPr>
          <w:rFonts w:hint="eastAsia" w:ascii="宋体" w:hAnsi="Courier New" w:cs="Courier New"/>
          <w:szCs w:val="21"/>
          <w:highlight w:val="none"/>
          <w:lang w:val="en-US" w:eastAsia="zh-CN"/>
        </w:rPr>
        <w:t>乙方</w:t>
      </w:r>
      <w:r>
        <w:rPr>
          <w:rFonts w:hint="eastAsia" w:ascii="宋体" w:hAnsi="Courier New" w:cs="Courier New"/>
          <w:szCs w:val="21"/>
          <w:highlight w:val="none"/>
        </w:rPr>
        <w:t>响应文件及其承诺，甲乙双方签订本合同。</w:t>
      </w:r>
    </w:p>
    <w:p w14:paraId="684487C7">
      <w:pPr>
        <w:keepNext w:val="0"/>
        <w:keepLines w:val="0"/>
        <w:pageBreakBefore w:val="0"/>
        <w:widowControl w:val="0"/>
        <w:numPr>
          <w:ilvl w:val="0"/>
          <w:numId w:val="3"/>
        </w:numPr>
        <w:kinsoku/>
        <w:overflowPunct/>
        <w:topLinePunct w:val="0"/>
        <w:autoSpaceDE/>
        <w:autoSpaceDN/>
        <w:bidi w:val="0"/>
        <w:adjustRightInd/>
        <w:snapToGrid w:val="0"/>
        <w:spacing w:line="380" w:lineRule="exact"/>
        <w:textAlignment w:val="auto"/>
        <w:outlineLvl w:val="0"/>
        <w:rPr>
          <w:rFonts w:ascii="宋体" w:hAnsi="宋体"/>
          <w:b/>
          <w:szCs w:val="21"/>
          <w:highlight w:val="none"/>
        </w:rPr>
      </w:pPr>
      <w:r>
        <w:rPr>
          <w:rFonts w:hint="eastAsia" w:ascii="宋体" w:hAnsi="宋体"/>
          <w:b/>
          <w:szCs w:val="21"/>
          <w:highlight w:val="none"/>
        </w:rPr>
        <w:t>合同标的</w:t>
      </w:r>
    </w:p>
    <w:p w14:paraId="7914392E">
      <w:pPr>
        <w:keepNext w:val="0"/>
        <w:keepLines w:val="0"/>
        <w:pageBreakBefore w:val="0"/>
        <w:widowControl w:val="0"/>
        <w:kinsoku/>
        <w:overflowPunct/>
        <w:topLinePunct w:val="0"/>
        <w:autoSpaceDE/>
        <w:autoSpaceDN/>
        <w:bidi w:val="0"/>
        <w:adjustRightInd/>
        <w:snapToGrid w:val="0"/>
        <w:spacing w:line="380" w:lineRule="exact"/>
        <w:ind w:firstLine="422" w:firstLineChars="200"/>
        <w:textAlignment w:val="auto"/>
        <w:outlineLvl w:val="0"/>
        <w:rPr>
          <w:rFonts w:hint="eastAsia" w:ascii="宋体" w:hAnsi="宋体" w:eastAsia="宋体"/>
          <w:b/>
          <w:szCs w:val="21"/>
          <w:highlight w:val="none"/>
          <w:lang w:eastAsia="zh-CN"/>
        </w:rPr>
      </w:pPr>
      <w:r>
        <w:rPr>
          <w:rFonts w:hint="eastAsia" w:ascii="宋体" w:hAnsi="宋体"/>
          <w:b/>
          <w:szCs w:val="21"/>
          <w:highlight w:val="none"/>
        </w:rPr>
        <w:t>1、服务名称</w:t>
      </w:r>
      <w:r>
        <w:rPr>
          <w:rFonts w:hint="eastAsia" w:ascii="宋体" w:hAnsi="宋体"/>
          <w:b/>
          <w:szCs w:val="21"/>
          <w:highlight w:val="none"/>
          <w:lang w:eastAsia="zh-CN"/>
        </w:rPr>
        <w:t>：</w:t>
      </w:r>
    </w:p>
    <w:p w14:paraId="74A8CA96">
      <w:pPr>
        <w:keepNext w:val="0"/>
        <w:keepLines w:val="0"/>
        <w:pageBreakBefore w:val="0"/>
        <w:widowControl w:val="0"/>
        <w:kinsoku/>
        <w:overflowPunct/>
        <w:topLinePunct w:val="0"/>
        <w:autoSpaceDE/>
        <w:autoSpaceDN/>
        <w:bidi w:val="0"/>
        <w:adjustRightInd/>
        <w:snapToGrid w:val="0"/>
        <w:spacing w:line="380" w:lineRule="exact"/>
        <w:ind w:firstLine="422" w:firstLineChars="200"/>
        <w:textAlignment w:val="auto"/>
        <w:outlineLvl w:val="0"/>
        <w:rPr>
          <w:rFonts w:hint="eastAsia" w:ascii="宋体" w:hAnsi="宋体" w:eastAsia="宋体"/>
          <w:b/>
          <w:szCs w:val="21"/>
          <w:highlight w:val="none"/>
          <w:lang w:eastAsia="zh-CN"/>
        </w:rPr>
      </w:pPr>
      <w:r>
        <w:rPr>
          <w:rFonts w:hint="eastAsia" w:ascii="宋体" w:hAnsi="宋体"/>
          <w:b/>
          <w:szCs w:val="21"/>
          <w:highlight w:val="none"/>
        </w:rPr>
        <w:t>2、服务数量</w:t>
      </w:r>
      <w:r>
        <w:rPr>
          <w:rFonts w:hint="eastAsia" w:ascii="宋体" w:hAnsi="宋体"/>
          <w:b/>
          <w:szCs w:val="21"/>
          <w:highlight w:val="none"/>
          <w:lang w:eastAsia="zh-CN"/>
        </w:rPr>
        <w:t>：</w:t>
      </w:r>
    </w:p>
    <w:p w14:paraId="251E3270">
      <w:pPr>
        <w:keepNext w:val="0"/>
        <w:keepLines w:val="0"/>
        <w:pageBreakBefore w:val="0"/>
        <w:widowControl w:val="0"/>
        <w:kinsoku/>
        <w:overflowPunct/>
        <w:topLinePunct w:val="0"/>
        <w:autoSpaceDE/>
        <w:autoSpaceDN/>
        <w:bidi w:val="0"/>
        <w:adjustRightInd/>
        <w:snapToGrid w:val="0"/>
        <w:spacing w:line="380" w:lineRule="exact"/>
        <w:ind w:firstLine="422" w:firstLineChars="200"/>
        <w:textAlignment w:val="auto"/>
        <w:outlineLvl w:val="0"/>
        <w:rPr>
          <w:rFonts w:hint="eastAsia" w:ascii="宋体" w:hAnsi="宋体" w:eastAsia="宋体"/>
          <w:b/>
          <w:szCs w:val="21"/>
          <w:highlight w:val="none"/>
          <w:lang w:eastAsia="zh-CN"/>
        </w:rPr>
      </w:pPr>
      <w:r>
        <w:rPr>
          <w:rFonts w:hint="eastAsia" w:ascii="宋体" w:hAnsi="宋体"/>
          <w:b/>
          <w:szCs w:val="21"/>
          <w:highlight w:val="none"/>
        </w:rPr>
        <w:t>3、服务内容</w:t>
      </w:r>
      <w:r>
        <w:rPr>
          <w:rFonts w:hint="eastAsia" w:ascii="宋体" w:hAnsi="宋体"/>
          <w:b/>
          <w:szCs w:val="21"/>
          <w:highlight w:val="none"/>
          <w:lang w:eastAsia="zh-CN"/>
        </w:rPr>
        <w:t>：</w:t>
      </w:r>
    </w:p>
    <w:p w14:paraId="7B3F7BDA">
      <w:pPr>
        <w:keepNext w:val="0"/>
        <w:keepLines w:val="0"/>
        <w:pageBreakBefore w:val="0"/>
        <w:widowControl w:val="0"/>
        <w:kinsoku/>
        <w:overflowPunct/>
        <w:topLinePunct w:val="0"/>
        <w:autoSpaceDE/>
        <w:autoSpaceDN/>
        <w:bidi w:val="0"/>
        <w:adjustRightInd/>
        <w:snapToGrid w:val="0"/>
        <w:spacing w:line="380" w:lineRule="exact"/>
        <w:ind w:firstLine="422" w:firstLineChars="200"/>
        <w:textAlignment w:val="auto"/>
        <w:rPr>
          <w:rFonts w:ascii="宋体" w:hAnsi="宋体"/>
          <w:b/>
          <w:szCs w:val="21"/>
          <w:highlight w:val="none"/>
        </w:rPr>
      </w:pPr>
      <w:r>
        <w:rPr>
          <w:rFonts w:hint="eastAsia" w:ascii="宋体" w:hAnsi="宋体"/>
          <w:b/>
          <w:szCs w:val="21"/>
          <w:highlight w:val="none"/>
        </w:rPr>
        <w:t>第二条　合同金额</w:t>
      </w:r>
    </w:p>
    <w:p w14:paraId="4CD9772C">
      <w:pPr>
        <w:keepNext w:val="0"/>
        <w:keepLines w:val="0"/>
        <w:pageBreakBefore w:val="0"/>
        <w:widowControl w:val="0"/>
        <w:kinsoku/>
        <w:wordWrap w:val="0"/>
        <w:overflowPunct/>
        <w:topLinePunct w:val="0"/>
        <w:autoSpaceDE/>
        <w:autoSpaceDN/>
        <w:bidi w:val="0"/>
        <w:adjustRightInd/>
        <w:snapToGrid w:val="0"/>
        <w:spacing w:line="380" w:lineRule="exact"/>
        <w:ind w:left="727" w:leftChars="346"/>
        <w:textAlignment w:val="auto"/>
        <w:rPr>
          <w:rFonts w:ascii="宋体" w:hAnsi="宋体"/>
          <w:b/>
          <w:szCs w:val="21"/>
          <w:highlight w:val="none"/>
        </w:rPr>
      </w:pPr>
      <w:r>
        <w:rPr>
          <w:rFonts w:hint="eastAsia" w:ascii="宋体" w:hAnsi="宋体"/>
          <w:b/>
          <w:szCs w:val="21"/>
          <w:highlight w:val="none"/>
        </w:rPr>
        <w:t>本项目合同金额(大写)人民币_________________(</w:t>
      </w:r>
      <w:r>
        <w:rPr>
          <w:rFonts w:hint="eastAsia" w:ascii="宋体" w:hAnsi="宋体"/>
          <w:szCs w:val="21"/>
          <w:highlight w:val="none"/>
        </w:rPr>
        <w:t>¥</w:t>
      </w:r>
      <w:r>
        <w:rPr>
          <w:rFonts w:hint="eastAsia" w:ascii="宋体" w:hAnsi="宋体"/>
          <w:szCs w:val="21"/>
          <w:highlight w:val="none"/>
          <w:u w:val="single"/>
        </w:rPr>
        <w:t xml:space="preserve">           元 )</w:t>
      </w:r>
      <w:r>
        <w:rPr>
          <w:rFonts w:hint="eastAsia" w:ascii="宋体" w:hAnsi="宋体"/>
          <w:szCs w:val="21"/>
          <w:highlight w:val="none"/>
        </w:rPr>
        <w:t>。</w:t>
      </w:r>
    </w:p>
    <w:p w14:paraId="1311E60B">
      <w:pPr>
        <w:keepNext w:val="0"/>
        <w:keepLines w:val="0"/>
        <w:pageBreakBefore w:val="0"/>
        <w:widowControl w:val="0"/>
        <w:kinsoku/>
        <w:overflowPunct/>
        <w:topLinePunct w:val="0"/>
        <w:autoSpaceDE/>
        <w:autoSpaceDN/>
        <w:bidi w:val="0"/>
        <w:adjustRightInd/>
        <w:snapToGrid w:val="0"/>
        <w:spacing w:line="380" w:lineRule="exact"/>
        <w:ind w:firstLine="422" w:firstLineChars="200"/>
        <w:textAlignment w:val="auto"/>
        <w:outlineLvl w:val="0"/>
        <w:rPr>
          <w:rFonts w:ascii="宋体" w:hAnsi="宋体"/>
          <w:b/>
          <w:szCs w:val="21"/>
          <w:highlight w:val="none"/>
        </w:rPr>
      </w:pPr>
      <w:r>
        <w:rPr>
          <w:rFonts w:hint="eastAsia" w:ascii="宋体" w:hAnsi="宋体"/>
          <w:b/>
          <w:szCs w:val="21"/>
          <w:highlight w:val="none"/>
        </w:rPr>
        <w:t>第三条　服务</w:t>
      </w:r>
      <w:r>
        <w:rPr>
          <w:rFonts w:hint="eastAsia" w:ascii="宋体" w:hAnsi="宋体"/>
          <w:b/>
          <w:szCs w:val="21"/>
          <w:highlight w:val="none"/>
          <w:lang w:val="en-US" w:eastAsia="zh-CN"/>
        </w:rPr>
        <w:t>期限</w:t>
      </w:r>
      <w:r>
        <w:rPr>
          <w:rFonts w:hint="eastAsia" w:ascii="宋体" w:hAnsi="宋体"/>
          <w:b/>
          <w:szCs w:val="21"/>
          <w:highlight w:val="none"/>
        </w:rPr>
        <w:t>及地点</w:t>
      </w:r>
    </w:p>
    <w:p w14:paraId="26286E12">
      <w:pPr>
        <w:keepNext w:val="0"/>
        <w:keepLines w:val="0"/>
        <w:pageBreakBefore w:val="0"/>
        <w:widowControl w:val="0"/>
        <w:kinsoku/>
        <w:overflowPunct/>
        <w:topLinePunct w:val="0"/>
        <w:autoSpaceDE/>
        <w:autoSpaceDN/>
        <w:bidi w:val="0"/>
        <w:adjustRightInd/>
        <w:snapToGrid w:val="0"/>
        <w:spacing w:line="380" w:lineRule="exact"/>
        <w:ind w:firstLine="422" w:firstLineChars="200"/>
        <w:textAlignment w:val="auto"/>
        <w:outlineLvl w:val="0"/>
        <w:rPr>
          <w:rFonts w:hint="eastAsia" w:ascii="宋体" w:hAnsi="宋体" w:eastAsia="宋体"/>
          <w:b/>
          <w:szCs w:val="21"/>
          <w:highlight w:val="none"/>
          <w:lang w:eastAsia="zh-CN"/>
        </w:rPr>
      </w:pPr>
      <w:r>
        <w:rPr>
          <w:rFonts w:hint="eastAsia" w:ascii="宋体" w:hAnsi="宋体"/>
          <w:b/>
          <w:szCs w:val="21"/>
          <w:highlight w:val="none"/>
        </w:rPr>
        <w:t>1、服务</w:t>
      </w:r>
      <w:r>
        <w:rPr>
          <w:rFonts w:hint="eastAsia" w:ascii="宋体" w:hAnsi="宋体"/>
          <w:b/>
          <w:szCs w:val="21"/>
          <w:highlight w:val="none"/>
          <w:lang w:val="en-US" w:eastAsia="zh-CN"/>
        </w:rPr>
        <w:t>期限</w:t>
      </w:r>
      <w:r>
        <w:rPr>
          <w:rFonts w:hint="eastAsia" w:ascii="宋体" w:hAnsi="宋体"/>
          <w:b/>
          <w:szCs w:val="21"/>
          <w:highlight w:val="none"/>
          <w:lang w:eastAsia="zh-CN"/>
        </w:rPr>
        <w:t>：</w:t>
      </w:r>
    </w:p>
    <w:p w14:paraId="5BADFE57">
      <w:pPr>
        <w:keepNext w:val="0"/>
        <w:keepLines w:val="0"/>
        <w:pageBreakBefore w:val="0"/>
        <w:widowControl w:val="0"/>
        <w:kinsoku/>
        <w:overflowPunct/>
        <w:topLinePunct w:val="0"/>
        <w:autoSpaceDE/>
        <w:autoSpaceDN/>
        <w:bidi w:val="0"/>
        <w:adjustRightInd/>
        <w:snapToGrid w:val="0"/>
        <w:spacing w:line="380" w:lineRule="exact"/>
        <w:ind w:firstLine="422" w:firstLineChars="200"/>
        <w:textAlignment w:val="auto"/>
        <w:outlineLvl w:val="0"/>
        <w:rPr>
          <w:rFonts w:hint="eastAsia" w:ascii="宋体" w:hAnsi="宋体" w:eastAsia="宋体"/>
          <w:szCs w:val="21"/>
          <w:highlight w:val="none"/>
          <w:lang w:eastAsia="zh-CN"/>
        </w:rPr>
      </w:pPr>
      <w:r>
        <w:rPr>
          <w:rFonts w:hint="eastAsia" w:ascii="宋体" w:hAnsi="宋体"/>
          <w:b/>
          <w:szCs w:val="21"/>
          <w:highlight w:val="none"/>
        </w:rPr>
        <w:t>2、服务地点</w:t>
      </w:r>
      <w:r>
        <w:rPr>
          <w:rFonts w:hint="eastAsia" w:ascii="宋体" w:hAnsi="宋体"/>
          <w:b/>
          <w:szCs w:val="21"/>
          <w:highlight w:val="none"/>
          <w:lang w:eastAsia="zh-CN"/>
        </w:rPr>
        <w:t>：</w:t>
      </w:r>
    </w:p>
    <w:p w14:paraId="08CEA56E">
      <w:pPr>
        <w:keepNext w:val="0"/>
        <w:keepLines w:val="0"/>
        <w:pageBreakBefore w:val="0"/>
        <w:widowControl w:val="0"/>
        <w:kinsoku/>
        <w:overflowPunct/>
        <w:topLinePunct w:val="0"/>
        <w:autoSpaceDE/>
        <w:autoSpaceDN/>
        <w:bidi w:val="0"/>
        <w:adjustRightInd/>
        <w:snapToGrid w:val="0"/>
        <w:spacing w:line="380" w:lineRule="exact"/>
        <w:ind w:firstLine="422" w:firstLineChars="200"/>
        <w:textAlignment w:val="auto"/>
        <w:outlineLvl w:val="0"/>
        <w:rPr>
          <w:rFonts w:ascii="宋体" w:hAnsi="宋体"/>
          <w:b/>
          <w:szCs w:val="21"/>
          <w:highlight w:val="none"/>
        </w:rPr>
      </w:pPr>
      <w:r>
        <w:rPr>
          <w:rFonts w:hint="eastAsia" w:ascii="宋体" w:hAnsi="宋体"/>
          <w:b/>
          <w:szCs w:val="21"/>
          <w:highlight w:val="none"/>
        </w:rPr>
        <w:t>第四条　售后服务</w:t>
      </w:r>
    </w:p>
    <w:p w14:paraId="31DE8E99">
      <w:pPr>
        <w:keepNext w:val="0"/>
        <w:keepLines w:val="0"/>
        <w:pageBreakBefore w:val="0"/>
        <w:widowControl w:val="0"/>
        <w:kinsoku/>
        <w:overflowPunct/>
        <w:topLinePunct w:val="0"/>
        <w:autoSpaceDE/>
        <w:autoSpaceDN/>
        <w:bidi w:val="0"/>
        <w:adjustRightInd/>
        <w:snapToGrid w:val="0"/>
        <w:spacing w:line="380" w:lineRule="exact"/>
        <w:ind w:firstLine="420" w:firstLineChars="200"/>
        <w:textAlignment w:val="auto"/>
        <w:rPr>
          <w:rFonts w:ascii="宋体" w:hAnsi="宋体"/>
          <w:szCs w:val="21"/>
          <w:highlight w:val="none"/>
          <w:u w:val="single"/>
        </w:rPr>
      </w:pPr>
      <w:r>
        <w:rPr>
          <w:rFonts w:hint="eastAsia" w:ascii="宋体" w:hAnsi="宋体"/>
          <w:szCs w:val="21"/>
          <w:highlight w:val="none"/>
        </w:rPr>
        <w:t>乙方所提供的服务必须与采购文件和承诺相一致且符合相应的服务规范及标准。</w:t>
      </w:r>
    </w:p>
    <w:p w14:paraId="144EBB65">
      <w:pPr>
        <w:keepNext w:val="0"/>
        <w:keepLines w:val="0"/>
        <w:pageBreakBefore w:val="0"/>
        <w:widowControl w:val="0"/>
        <w:kinsoku/>
        <w:overflowPunct/>
        <w:topLinePunct w:val="0"/>
        <w:autoSpaceDE/>
        <w:autoSpaceDN/>
        <w:bidi w:val="0"/>
        <w:adjustRightInd/>
        <w:snapToGrid w:val="0"/>
        <w:spacing w:line="380" w:lineRule="exact"/>
        <w:ind w:firstLine="422" w:firstLineChars="200"/>
        <w:textAlignment w:val="auto"/>
        <w:outlineLvl w:val="0"/>
        <w:rPr>
          <w:rFonts w:ascii="宋体" w:hAnsi="宋体"/>
          <w:szCs w:val="21"/>
          <w:highlight w:val="none"/>
        </w:rPr>
      </w:pPr>
      <w:r>
        <w:rPr>
          <w:rFonts w:hint="eastAsia" w:ascii="宋体" w:hAnsi="宋体"/>
          <w:b/>
          <w:szCs w:val="21"/>
          <w:highlight w:val="none"/>
        </w:rPr>
        <w:t>第五条　付款方式</w:t>
      </w:r>
    </w:p>
    <w:p w14:paraId="56E7E942">
      <w:pPr>
        <w:keepNext w:val="0"/>
        <w:keepLines w:val="0"/>
        <w:pageBreakBefore w:val="0"/>
        <w:widowControl w:val="0"/>
        <w:kinsoku/>
        <w:overflowPunct/>
        <w:topLinePunct w:val="0"/>
        <w:autoSpaceDE/>
        <w:autoSpaceDN/>
        <w:bidi w:val="0"/>
        <w:adjustRightInd/>
        <w:snapToGrid w:val="0"/>
        <w:spacing w:line="380" w:lineRule="exact"/>
        <w:ind w:left="0" w:leftChars="0" w:firstLine="420" w:firstLineChars="200"/>
        <w:textAlignment w:val="auto"/>
        <w:rPr>
          <w:rFonts w:hint="eastAsia" w:ascii="宋体" w:hAnsi="宋体" w:cs="Times New Roman"/>
          <w:b w:val="0"/>
          <w:szCs w:val="21"/>
          <w:highlight w:val="none"/>
        </w:rPr>
      </w:pPr>
      <w:r>
        <w:rPr>
          <w:rFonts w:hint="eastAsia" w:ascii="宋体" w:hAnsi="宋体"/>
          <w:szCs w:val="21"/>
          <w:highlight w:val="none"/>
          <w:lang w:val="en-US" w:eastAsia="zh-CN"/>
        </w:rPr>
        <w:t>详见采购需求</w:t>
      </w:r>
      <w:r>
        <w:rPr>
          <w:rFonts w:hint="eastAsia" w:ascii="宋体" w:hAnsi="宋体"/>
          <w:szCs w:val="21"/>
          <w:highlight w:val="none"/>
        </w:rPr>
        <w:t>。</w:t>
      </w:r>
    </w:p>
    <w:p w14:paraId="6E8088BC">
      <w:pPr>
        <w:keepNext w:val="0"/>
        <w:keepLines w:val="0"/>
        <w:pageBreakBefore w:val="0"/>
        <w:widowControl w:val="0"/>
        <w:kinsoku/>
        <w:overflowPunct/>
        <w:topLinePunct w:val="0"/>
        <w:autoSpaceDE/>
        <w:autoSpaceDN/>
        <w:bidi w:val="0"/>
        <w:adjustRightInd/>
        <w:snapToGrid w:val="0"/>
        <w:spacing w:line="380" w:lineRule="exact"/>
        <w:ind w:left="-61" w:leftChars="-29" w:firstLine="517" w:firstLineChars="245"/>
        <w:textAlignment w:val="auto"/>
        <w:outlineLvl w:val="0"/>
        <w:rPr>
          <w:rFonts w:ascii="宋体" w:hAnsi="宋体" w:cs="Courier New"/>
          <w:b/>
          <w:color w:val="auto"/>
          <w:szCs w:val="21"/>
          <w:highlight w:val="none"/>
          <w:u w:val="single"/>
        </w:rPr>
      </w:pPr>
      <w:r>
        <w:rPr>
          <w:rFonts w:hint="eastAsia" w:ascii="宋体" w:hAnsi="宋体" w:cs="Courier New"/>
          <w:b/>
          <w:color w:val="auto"/>
          <w:szCs w:val="21"/>
          <w:highlight w:val="none"/>
        </w:rPr>
        <w:t>第六条　履约保证金：</w:t>
      </w:r>
    </w:p>
    <w:p w14:paraId="784D64F3">
      <w:pPr>
        <w:keepNext w:val="0"/>
        <w:keepLines w:val="0"/>
        <w:pageBreakBefore w:val="0"/>
        <w:widowControl w:val="0"/>
        <w:kinsoku/>
        <w:overflowPunct/>
        <w:topLinePunct w:val="0"/>
        <w:autoSpaceDE/>
        <w:autoSpaceDN/>
        <w:bidi w:val="0"/>
        <w:adjustRightInd/>
        <w:snapToGrid w:val="0"/>
        <w:spacing w:line="380" w:lineRule="exact"/>
        <w:ind w:left="-61" w:leftChars="-29" w:firstLine="514" w:firstLineChars="245"/>
        <w:textAlignment w:val="auto"/>
        <w:outlineLvl w:val="0"/>
        <w:rPr>
          <w:rFonts w:ascii="宋体" w:hAnsi="宋体" w:cs="Courier New"/>
          <w:b/>
          <w:color w:val="auto"/>
          <w:szCs w:val="21"/>
          <w:highlight w:val="none"/>
          <w:u w:val="single"/>
        </w:rPr>
      </w:pPr>
      <w:r>
        <w:rPr>
          <w:rFonts w:hint="eastAsia" w:ascii="宋体" w:hAnsi="宋体"/>
          <w:color w:val="auto"/>
          <w:szCs w:val="21"/>
          <w:highlight w:val="none"/>
        </w:rPr>
        <w:t>无。</w:t>
      </w:r>
    </w:p>
    <w:p w14:paraId="3C28931D">
      <w:pPr>
        <w:keepNext w:val="0"/>
        <w:keepLines w:val="0"/>
        <w:pageBreakBefore w:val="0"/>
        <w:widowControl w:val="0"/>
        <w:kinsoku/>
        <w:overflowPunct/>
        <w:topLinePunct w:val="0"/>
        <w:autoSpaceDE/>
        <w:autoSpaceDN/>
        <w:bidi w:val="0"/>
        <w:adjustRightInd/>
        <w:snapToGrid w:val="0"/>
        <w:spacing w:line="380" w:lineRule="exact"/>
        <w:ind w:left="-61" w:leftChars="-29" w:firstLine="517" w:firstLineChars="245"/>
        <w:textAlignment w:val="auto"/>
        <w:outlineLvl w:val="0"/>
        <w:rPr>
          <w:rFonts w:ascii="宋体" w:hAnsi="宋体"/>
          <w:b/>
          <w:color w:val="auto"/>
          <w:szCs w:val="21"/>
          <w:highlight w:val="none"/>
        </w:rPr>
      </w:pPr>
      <w:r>
        <w:rPr>
          <w:rFonts w:hint="eastAsia" w:ascii="宋体" w:hAnsi="宋体"/>
          <w:b/>
          <w:color w:val="auto"/>
          <w:szCs w:val="21"/>
          <w:highlight w:val="none"/>
        </w:rPr>
        <w:t>第七条  税费  本合同执行中相关的一切税费均由乙方负担。</w:t>
      </w:r>
    </w:p>
    <w:p w14:paraId="7444E3E7">
      <w:pPr>
        <w:keepNext w:val="0"/>
        <w:keepLines w:val="0"/>
        <w:pageBreakBefore w:val="0"/>
        <w:widowControl w:val="0"/>
        <w:numPr>
          <w:ilvl w:val="-1"/>
          <w:numId w:val="0"/>
        </w:numPr>
        <w:kinsoku/>
        <w:overflowPunct/>
        <w:topLinePunct w:val="0"/>
        <w:autoSpaceDE/>
        <w:autoSpaceDN/>
        <w:bidi w:val="0"/>
        <w:adjustRightInd/>
        <w:snapToGrid w:val="0"/>
        <w:spacing w:line="380" w:lineRule="exact"/>
        <w:ind w:left="-61" w:leftChars="-29" w:firstLine="517" w:firstLineChars="245"/>
        <w:textAlignment w:val="auto"/>
        <w:outlineLvl w:val="0"/>
        <w:rPr>
          <w:rFonts w:hint="eastAsia" w:ascii="宋体" w:hAnsi="宋体"/>
          <w:b/>
          <w:szCs w:val="21"/>
          <w:highlight w:val="none"/>
          <w:lang w:val="en-US" w:eastAsia="zh-CN"/>
        </w:rPr>
      </w:pPr>
      <w:r>
        <w:rPr>
          <w:rFonts w:hint="eastAsia" w:ascii="宋体" w:hAnsi="宋体"/>
          <w:b/>
          <w:color w:val="auto"/>
          <w:kern w:val="2"/>
          <w:sz w:val="21"/>
          <w:szCs w:val="21"/>
          <w:highlight w:val="none"/>
          <w:lang w:val="en-US" w:eastAsia="zh-CN" w:bidi="ar-SA"/>
        </w:rPr>
        <w:t>第</w:t>
      </w:r>
      <w:r>
        <w:rPr>
          <w:rFonts w:hint="eastAsia" w:ascii="宋体" w:hAnsi="宋体" w:eastAsia="宋体" w:cs="Times New Roman"/>
          <w:b/>
          <w:color w:val="auto"/>
          <w:kern w:val="2"/>
          <w:sz w:val="21"/>
          <w:szCs w:val="21"/>
          <w:highlight w:val="none"/>
          <w:lang w:val="en-US" w:eastAsia="zh-CN" w:bidi="ar-SA"/>
        </w:rPr>
        <w:t>八</w:t>
      </w:r>
      <w:r>
        <w:rPr>
          <w:rFonts w:hint="eastAsia" w:ascii="宋体" w:hAnsi="宋体"/>
          <w:b/>
          <w:color w:val="auto"/>
          <w:kern w:val="2"/>
          <w:sz w:val="21"/>
          <w:szCs w:val="21"/>
          <w:highlight w:val="none"/>
          <w:lang w:val="en-US" w:eastAsia="zh-CN" w:bidi="ar-SA"/>
        </w:rPr>
        <w:t>条　</w:t>
      </w:r>
      <w:r>
        <w:rPr>
          <w:rFonts w:hint="eastAsia" w:ascii="宋体" w:hAnsi="宋体"/>
          <w:b/>
          <w:color w:val="auto"/>
          <w:szCs w:val="21"/>
          <w:highlight w:val="none"/>
          <w:lang w:val="en-US" w:eastAsia="zh-CN"/>
        </w:rPr>
        <w:t xml:space="preserve"> 保密</w:t>
      </w:r>
      <w:r>
        <w:rPr>
          <w:rFonts w:hint="eastAsia" w:ascii="宋体" w:hAnsi="宋体"/>
          <w:b/>
          <w:szCs w:val="21"/>
          <w:highlight w:val="none"/>
          <w:lang w:val="en-US" w:eastAsia="zh-CN"/>
        </w:rPr>
        <w:t>条款</w:t>
      </w:r>
    </w:p>
    <w:p w14:paraId="5C349161">
      <w:pPr>
        <w:keepNext w:val="0"/>
        <w:keepLines w:val="0"/>
        <w:pageBreakBefore w:val="0"/>
        <w:widowControl w:val="0"/>
        <w:kinsoku/>
        <w:overflowPunct/>
        <w:topLinePunct w:val="0"/>
        <w:autoSpaceDE/>
        <w:autoSpaceDN/>
        <w:bidi w:val="0"/>
        <w:adjustRightInd/>
        <w:snapToGrid w:val="0"/>
        <w:spacing w:before="120" w:after="120" w:line="380" w:lineRule="exact"/>
        <w:ind w:firstLine="420" w:firstLineChars="200"/>
        <w:jc w:val="left"/>
        <w:textAlignment w:val="auto"/>
        <w:rPr>
          <w:rFonts w:hint="eastAsia" w:ascii="宋体" w:hAnsi="Courier New" w:eastAsia="宋体" w:cs="Courier New"/>
          <w:szCs w:val="21"/>
          <w:highlight w:val="none"/>
        </w:rPr>
      </w:pPr>
      <w:r>
        <w:rPr>
          <w:rFonts w:hint="eastAsia" w:ascii="宋体" w:hAnsi="Courier New" w:eastAsia="宋体" w:cs="Courier New"/>
          <w:szCs w:val="21"/>
          <w:highlight w:val="none"/>
          <w:lang w:val="en-US" w:eastAsia="zh-CN"/>
        </w:rPr>
        <w:t>乙方</w:t>
      </w:r>
      <w:r>
        <w:rPr>
          <w:rFonts w:hint="eastAsia" w:ascii="宋体" w:hAnsi="Courier New" w:eastAsia="宋体" w:cs="Courier New"/>
          <w:szCs w:val="21"/>
          <w:highlight w:val="none"/>
        </w:rPr>
        <w:t>及其工作人员对</w:t>
      </w:r>
      <w:r>
        <w:rPr>
          <w:rFonts w:hint="eastAsia" w:ascii="宋体" w:hAnsi="Courier New" w:cs="Courier New"/>
          <w:szCs w:val="21"/>
          <w:highlight w:val="none"/>
        </w:rPr>
        <w:t>本项目服务内容及由甲方提供的有关合同或者任何合同条文、规格、计划、图纸、样品或者资料、</w:t>
      </w:r>
      <w:r>
        <w:rPr>
          <w:rFonts w:hint="eastAsia" w:ascii="宋体" w:hAnsi="Courier New" w:eastAsia="宋体" w:cs="Courier New"/>
          <w:szCs w:val="21"/>
          <w:highlight w:val="none"/>
        </w:rPr>
        <w:t>工作中涉及的国家秘密、</w:t>
      </w:r>
      <w:r>
        <w:rPr>
          <w:rFonts w:hint="eastAsia" w:ascii="宋体" w:hAnsi="Courier New" w:eastAsia="宋体" w:cs="Courier New"/>
          <w:szCs w:val="21"/>
          <w:highlight w:val="none"/>
          <w:lang w:val="en-US" w:eastAsia="zh-CN"/>
        </w:rPr>
        <w:t>工作</w:t>
      </w:r>
      <w:r>
        <w:rPr>
          <w:rFonts w:hint="eastAsia" w:ascii="宋体" w:hAnsi="Courier New" w:eastAsia="宋体" w:cs="Courier New"/>
          <w:szCs w:val="21"/>
          <w:highlight w:val="none"/>
        </w:rPr>
        <w:t>秘密</w:t>
      </w:r>
      <w:r>
        <w:rPr>
          <w:rFonts w:hint="eastAsia" w:ascii="宋体" w:hAnsi="Courier New" w:eastAsia="宋体" w:cs="Courier New"/>
          <w:szCs w:val="21"/>
          <w:highlight w:val="none"/>
          <w:lang w:eastAsia="zh-CN"/>
        </w:rPr>
        <w:t>（</w:t>
      </w:r>
      <w:r>
        <w:rPr>
          <w:rFonts w:hint="eastAsia" w:ascii="宋体" w:hAnsi="Courier New" w:eastAsia="宋体" w:cs="Courier New"/>
          <w:szCs w:val="21"/>
          <w:highlight w:val="none"/>
          <w:lang w:val="en-US" w:eastAsia="zh-CN"/>
        </w:rPr>
        <w:t>包括财务信息</w:t>
      </w:r>
      <w:r>
        <w:rPr>
          <w:rFonts w:hint="eastAsia" w:ascii="宋体" w:hAnsi="Courier New" w:eastAsia="宋体" w:cs="Courier New"/>
          <w:szCs w:val="21"/>
          <w:highlight w:val="none"/>
          <w:lang w:eastAsia="zh-CN"/>
        </w:rPr>
        <w:t>）</w:t>
      </w:r>
      <w:r>
        <w:rPr>
          <w:rFonts w:hint="eastAsia" w:ascii="宋体" w:hAnsi="Courier New" w:eastAsia="宋体" w:cs="Courier New"/>
          <w:szCs w:val="21"/>
          <w:highlight w:val="none"/>
        </w:rPr>
        <w:t>和个人隐私</w:t>
      </w:r>
      <w:r>
        <w:rPr>
          <w:rFonts w:hint="eastAsia" w:ascii="宋体" w:hAnsi="Courier New" w:eastAsia="宋体" w:cs="Courier New"/>
          <w:szCs w:val="21"/>
          <w:highlight w:val="none"/>
          <w:lang w:eastAsia="zh-CN"/>
        </w:rPr>
        <w:t>（</w:t>
      </w:r>
      <w:r>
        <w:rPr>
          <w:rFonts w:hint="eastAsia" w:ascii="宋体" w:hAnsi="Courier New" w:eastAsia="宋体" w:cs="Courier New"/>
          <w:szCs w:val="21"/>
          <w:highlight w:val="none"/>
          <w:lang w:val="en-US" w:eastAsia="zh-CN"/>
        </w:rPr>
        <w:t>包括人事信息</w:t>
      </w:r>
      <w:r>
        <w:rPr>
          <w:rFonts w:hint="eastAsia" w:ascii="宋体" w:hAnsi="Courier New" w:eastAsia="宋体" w:cs="Courier New"/>
          <w:szCs w:val="21"/>
          <w:highlight w:val="none"/>
          <w:lang w:eastAsia="zh-CN"/>
        </w:rPr>
        <w:t>）</w:t>
      </w:r>
      <w:r>
        <w:rPr>
          <w:rFonts w:hint="eastAsia" w:ascii="宋体" w:hAnsi="Courier New" w:eastAsia="宋体" w:cs="Courier New"/>
          <w:szCs w:val="21"/>
          <w:highlight w:val="none"/>
        </w:rPr>
        <w:t>等予以保密，涉密文件和介质按</w:t>
      </w:r>
      <w:r>
        <w:rPr>
          <w:rFonts w:hint="eastAsia" w:ascii="宋体" w:hAnsi="Courier New" w:eastAsia="宋体" w:cs="Courier New"/>
          <w:szCs w:val="21"/>
          <w:highlight w:val="none"/>
          <w:lang w:val="en-US" w:eastAsia="zh-CN"/>
        </w:rPr>
        <w:t>国家</w:t>
      </w:r>
      <w:r>
        <w:rPr>
          <w:rFonts w:hint="eastAsia" w:ascii="宋体" w:hAnsi="Courier New" w:eastAsia="宋体" w:cs="Courier New"/>
          <w:szCs w:val="21"/>
          <w:highlight w:val="none"/>
        </w:rPr>
        <w:t>相关规定使用和保存，</w:t>
      </w:r>
      <w:r>
        <w:rPr>
          <w:rFonts w:hint="eastAsia" w:ascii="宋体" w:hAnsi="Courier New" w:cs="Courier New"/>
          <w:szCs w:val="21"/>
          <w:highlight w:val="none"/>
        </w:rPr>
        <w:t>即使向履行本合同有关的人员提供，也应注意保密并限于履行合同的必需范围。</w:t>
      </w:r>
      <w:r>
        <w:rPr>
          <w:rFonts w:hint="eastAsia" w:ascii="宋体" w:hAnsi="Courier New" w:eastAsia="宋体" w:cs="Courier New"/>
          <w:szCs w:val="21"/>
          <w:highlight w:val="none"/>
        </w:rPr>
        <w:t>未经</w:t>
      </w:r>
      <w:r>
        <w:rPr>
          <w:rFonts w:hint="eastAsia" w:ascii="宋体" w:hAnsi="Courier New" w:eastAsia="宋体" w:cs="Courier New"/>
          <w:szCs w:val="21"/>
          <w:highlight w:val="none"/>
          <w:lang w:val="en-US" w:eastAsia="zh-CN"/>
        </w:rPr>
        <w:t>甲方</w:t>
      </w:r>
      <w:r>
        <w:rPr>
          <w:rFonts w:hint="eastAsia" w:ascii="宋体" w:hAnsi="Courier New" w:eastAsia="宋体" w:cs="Courier New"/>
          <w:szCs w:val="21"/>
          <w:highlight w:val="none"/>
        </w:rPr>
        <w:t>或有权机关（单位）</w:t>
      </w:r>
      <w:r>
        <w:rPr>
          <w:rFonts w:hint="eastAsia" w:ascii="宋体" w:hAnsi="Courier New" w:eastAsia="宋体" w:cs="Courier New"/>
          <w:szCs w:val="21"/>
          <w:highlight w:val="none"/>
          <w:lang w:val="en-US" w:eastAsia="zh-CN"/>
        </w:rPr>
        <w:t>书面</w:t>
      </w:r>
      <w:r>
        <w:rPr>
          <w:rFonts w:hint="eastAsia" w:ascii="宋体" w:hAnsi="Courier New" w:eastAsia="宋体" w:cs="Courier New"/>
          <w:szCs w:val="21"/>
          <w:highlight w:val="none"/>
        </w:rPr>
        <w:t>批准不得对外透露</w:t>
      </w:r>
      <w:r>
        <w:rPr>
          <w:rFonts w:hint="eastAsia" w:ascii="宋体" w:hAnsi="Courier New" w:eastAsia="宋体" w:cs="Courier New"/>
          <w:szCs w:val="21"/>
          <w:highlight w:val="none"/>
          <w:lang w:val="en-US" w:eastAsia="zh-CN"/>
        </w:rPr>
        <w:t>任何</w:t>
      </w:r>
      <w:r>
        <w:rPr>
          <w:rFonts w:hint="eastAsia" w:ascii="宋体" w:hAnsi="Courier New" w:eastAsia="宋体" w:cs="Courier New"/>
          <w:szCs w:val="21"/>
          <w:highlight w:val="none"/>
        </w:rPr>
        <w:t>工作信息。</w:t>
      </w:r>
      <w:r>
        <w:rPr>
          <w:rFonts w:hint="eastAsia" w:ascii="宋体" w:hAnsi="Courier New" w:cs="Courier New"/>
          <w:szCs w:val="21"/>
          <w:highlight w:val="none"/>
        </w:rPr>
        <w:t>乙方的保密义务持续有效，不因为本合同履行终止、解除或者无效而解除。</w:t>
      </w:r>
    </w:p>
    <w:p w14:paraId="0879228E">
      <w:pPr>
        <w:keepNext w:val="0"/>
        <w:keepLines w:val="0"/>
        <w:pageBreakBefore w:val="0"/>
        <w:widowControl w:val="0"/>
        <w:kinsoku/>
        <w:overflowPunct/>
        <w:topLinePunct w:val="0"/>
        <w:autoSpaceDE/>
        <w:autoSpaceDN/>
        <w:bidi w:val="0"/>
        <w:adjustRightInd/>
        <w:snapToGrid w:val="0"/>
        <w:spacing w:before="120" w:after="120" w:line="380" w:lineRule="exact"/>
        <w:ind w:firstLine="413" w:firstLineChars="196"/>
        <w:textAlignment w:val="auto"/>
        <w:outlineLvl w:val="0"/>
        <w:rPr>
          <w:rFonts w:ascii="宋体" w:hAnsi="Courier New" w:cs="Courier New"/>
          <w:b/>
          <w:szCs w:val="21"/>
          <w:highlight w:val="none"/>
        </w:rPr>
      </w:pPr>
      <w:r>
        <w:rPr>
          <w:rFonts w:hint="eastAsia" w:ascii="宋体" w:hAnsi="Courier New" w:cs="Courier New"/>
          <w:b/>
          <w:szCs w:val="21"/>
          <w:highlight w:val="none"/>
        </w:rPr>
        <w:t>第</w:t>
      </w:r>
      <w:r>
        <w:rPr>
          <w:rFonts w:hint="eastAsia" w:ascii="宋体" w:hAnsi="Courier New" w:cs="Courier New"/>
          <w:b/>
          <w:szCs w:val="21"/>
          <w:highlight w:val="none"/>
          <w:lang w:val="en-US" w:eastAsia="zh-CN"/>
        </w:rPr>
        <w:t>九</w:t>
      </w:r>
      <w:r>
        <w:rPr>
          <w:rFonts w:hint="eastAsia" w:ascii="宋体" w:hAnsi="Courier New" w:cs="Courier New"/>
          <w:b/>
          <w:szCs w:val="21"/>
          <w:highlight w:val="none"/>
        </w:rPr>
        <w:t>条  验收</w:t>
      </w:r>
    </w:p>
    <w:p w14:paraId="602AAD29">
      <w:pPr>
        <w:keepNext w:val="0"/>
        <w:keepLines w:val="0"/>
        <w:pageBreakBefore w:val="0"/>
        <w:widowControl w:val="0"/>
        <w:kinsoku/>
        <w:overflowPunct/>
        <w:topLinePunct w:val="0"/>
        <w:autoSpaceDE/>
        <w:autoSpaceDN/>
        <w:bidi w:val="0"/>
        <w:adjustRightInd/>
        <w:snapToGrid w:val="0"/>
        <w:spacing w:before="120" w:after="120" w:line="380" w:lineRule="exact"/>
        <w:ind w:firstLine="420" w:firstLineChars="200"/>
        <w:jc w:val="left"/>
        <w:textAlignment w:val="auto"/>
        <w:rPr>
          <w:rFonts w:hint="eastAsia" w:ascii="宋体" w:hAnsi="Courier New" w:cs="Courier New"/>
          <w:szCs w:val="21"/>
          <w:highlight w:val="none"/>
        </w:rPr>
      </w:pPr>
      <w:r>
        <w:rPr>
          <w:rFonts w:hint="eastAsia" w:ascii="宋体" w:hAnsi="Courier New" w:cs="Courier New"/>
          <w:szCs w:val="21"/>
          <w:highlight w:val="none"/>
        </w:rPr>
        <w:t>1、甲方对乙方提交的服务</w:t>
      </w:r>
      <w:r>
        <w:rPr>
          <w:rFonts w:hint="eastAsia" w:ascii="宋体" w:hAnsi="Courier New" w:cs="Courier New"/>
          <w:szCs w:val="21"/>
          <w:highlight w:val="none"/>
          <w:lang w:val="en-US" w:eastAsia="zh-CN"/>
        </w:rPr>
        <w:t>或服务成果</w:t>
      </w:r>
      <w:r>
        <w:rPr>
          <w:rFonts w:hint="eastAsia" w:ascii="宋体" w:hAnsi="Courier New" w:cs="Courier New"/>
          <w:szCs w:val="21"/>
          <w:highlight w:val="none"/>
        </w:rPr>
        <w:t>依据采购文件上的服务</w:t>
      </w:r>
      <w:r>
        <w:rPr>
          <w:rFonts w:hint="eastAsia" w:ascii="宋体" w:hAnsi="Courier New" w:cs="Courier New"/>
          <w:szCs w:val="21"/>
          <w:highlight w:val="none"/>
          <w:lang w:val="en-US" w:eastAsia="zh-CN"/>
        </w:rPr>
        <w:t>或服务成果</w:t>
      </w:r>
      <w:r>
        <w:rPr>
          <w:rFonts w:hint="eastAsia" w:ascii="宋体" w:hAnsi="Courier New" w:cs="Courier New"/>
          <w:szCs w:val="21"/>
          <w:highlight w:val="none"/>
        </w:rPr>
        <w:t>要求和国家有关质量标准进行现场初步验收，符合采购文件技术要求的，给予签收，初步验收不合格的不予签收。</w:t>
      </w:r>
      <w:r>
        <w:rPr>
          <w:rFonts w:hint="eastAsia" w:ascii="宋体" w:hAnsi="Courier New" w:cs="Courier New"/>
          <w:bCs/>
          <w:szCs w:val="21"/>
          <w:highlight w:val="none"/>
        </w:rPr>
        <w:t>甲方应当在</w:t>
      </w:r>
      <w:r>
        <w:rPr>
          <w:rFonts w:hint="eastAsia" w:ascii="宋体" w:hAnsi="Courier New" w:cs="Courier New"/>
          <w:bCs/>
          <w:szCs w:val="21"/>
          <w:highlight w:val="none"/>
          <w:lang w:val="en-US" w:eastAsia="zh-CN"/>
        </w:rPr>
        <w:t>乙方</w:t>
      </w:r>
      <w:r>
        <w:rPr>
          <w:rFonts w:hint="eastAsia" w:ascii="宋体" w:hAnsi="Courier New" w:cs="Courier New"/>
          <w:bCs/>
          <w:szCs w:val="21"/>
          <w:highlight w:val="none"/>
        </w:rPr>
        <w:t>的</w:t>
      </w:r>
      <w:r>
        <w:rPr>
          <w:rFonts w:hint="eastAsia" w:ascii="宋体" w:hAnsi="Courier New" w:cs="Courier New"/>
          <w:bCs/>
          <w:szCs w:val="21"/>
          <w:highlight w:val="none"/>
          <w:lang w:val="en-US" w:eastAsia="zh-CN"/>
        </w:rPr>
        <w:t>服务或</w:t>
      </w:r>
      <w:r>
        <w:rPr>
          <w:rFonts w:hint="eastAsia" w:ascii="宋体" w:hAnsi="Courier New" w:cs="Courier New"/>
          <w:bCs/>
          <w:szCs w:val="21"/>
          <w:highlight w:val="none"/>
        </w:rPr>
        <w:t>服务成果提交后七个工作日内进行验收</w:t>
      </w:r>
      <w:r>
        <w:rPr>
          <w:rFonts w:hint="eastAsia" w:ascii="宋体" w:hAnsi="Courier New" w:cs="Courier New"/>
          <w:szCs w:val="21"/>
          <w:highlight w:val="none"/>
        </w:rPr>
        <w:t>。</w:t>
      </w:r>
    </w:p>
    <w:p w14:paraId="3573C8FC">
      <w:pPr>
        <w:keepNext w:val="0"/>
        <w:keepLines w:val="0"/>
        <w:pageBreakBefore w:val="0"/>
        <w:widowControl w:val="0"/>
        <w:kinsoku/>
        <w:overflowPunct/>
        <w:topLinePunct w:val="0"/>
        <w:autoSpaceDE/>
        <w:autoSpaceDN/>
        <w:bidi w:val="0"/>
        <w:adjustRightInd/>
        <w:snapToGrid w:val="0"/>
        <w:spacing w:before="120" w:after="120" w:line="380" w:lineRule="exact"/>
        <w:ind w:firstLine="420" w:firstLineChars="200"/>
        <w:textAlignment w:val="auto"/>
        <w:rPr>
          <w:rFonts w:hint="eastAsia" w:ascii="宋体" w:hAnsi="Courier New" w:cs="Courier New"/>
          <w:szCs w:val="21"/>
          <w:highlight w:val="none"/>
        </w:rPr>
      </w:pPr>
      <w:r>
        <w:rPr>
          <w:rFonts w:hint="eastAsia" w:ascii="宋体" w:hAnsi="Courier New" w:cs="Courier New"/>
          <w:szCs w:val="21"/>
          <w:highlight w:val="none"/>
          <w:lang w:val="en-US" w:eastAsia="zh-CN"/>
        </w:rPr>
        <w:t>2</w:t>
      </w:r>
      <w:r>
        <w:rPr>
          <w:rFonts w:hint="eastAsia" w:ascii="宋体" w:hAnsi="Courier New" w:cs="Courier New"/>
          <w:szCs w:val="21"/>
          <w:highlight w:val="none"/>
        </w:rPr>
        <w:t>、乙方提供不符合采购文件、响应文件和本合同规定的服务或服务成果，甲方有权拒绝接受。</w:t>
      </w:r>
    </w:p>
    <w:p w14:paraId="642F627E">
      <w:pPr>
        <w:keepNext w:val="0"/>
        <w:keepLines w:val="0"/>
        <w:pageBreakBefore w:val="0"/>
        <w:widowControl w:val="0"/>
        <w:kinsoku/>
        <w:overflowPunct/>
        <w:topLinePunct w:val="0"/>
        <w:autoSpaceDE/>
        <w:autoSpaceDN/>
        <w:bidi w:val="0"/>
        <w:adjustRightInd/>
        <w:snapToGrid w:val="0"/>
        <w:spacing w:before="120" w:after="120" w:line="380" w:lineRule="exact"/>
        <w:ind w:firstLine="420" w:firstLineChars="200"/>
        <w:textAlignment w:val="auto"/>
        <w:rPr>
          <w:rFonts w:ascii="宋体" w:hAnsi="Courier New" w:cs="Courier New"/>
          <w:szCs w:val="21"/>
          <w:highlight w:val="none"/>
        </w:rPr>
      </w:pPr>
      <w:r>
        <w:rPr>
          <w:rFonts w:hint="eastAsia" w:ascii="宋体" w:hAnsi="Courier New" w:cs="Courier New"/>
          <w:szCs w:val="21"/>
          <w:highlight w:val="none"/>
          <w:lang w:val="en-US" w:eastAsia="zh-CN"/>
        </w:rPr>
        <w:t>3</w:t>
      </w:r>
      <w:r>
        <w:rPr>
          <w:rFonts w:hint="eastAsia" w:ascii="宋体" w:hAnsi="Courier New" w:cs="Courier New"/>
          <w:szCs w:val="21"/>
          <w:highlight w:val="none"/>
        </w:rPr>
        <w:t>、乙方提交</w:t>
      </w:r>
      <w:r>
        <w:rPr>
          <w:rFonts w:hint="eastAsia" w:ascii="宋体" w:hAnsi="Courier New" w:cs="Courier New"/>
          <w:szCs w:val="21"/>
          <w:highlight w:val="none"/>
          <w:lang w:val="en-US" w:eastAsia="zh-CN"/>
        </w:rPr>
        <w:t>服务或</w:t>
      </w:r>
      <w:r>
        <w:rPr>
          <w:rFonts w:hint="eastAsia" w:ascii="宋体" w:hAnsi="Courier New" w:cs="Courier New"/>
          <w:szCs w:val="21"/>
          <w:highlight w:val="none"/>
        </w:rPr>
        <w:t>服务成果前应对提交的</w:t>
      </w:r>
      <w:r>
        <w:rPr>
          <w:rFonts w:hint="eastAsia" w:ascii="宋体" w:hAnsi="Courier New" w:cs="Courier New"/>
          <w:szCs w:val="21"/>
          <w:highlight w:val="none"/>
          <w:lang w:val="en-US" w:eastAsia="zh-CN"/>
        </w:rPr>
        <w:t>服务或</w:t>
      </w:r>
      <w:r>
        <w:rPr>
          <w:rFonts w:hint="eastAsia" w:ascii="宋体" w:hAnsi="Courier New" w:cs="Courier New"/>
          <w:szCs w:val="21"/>
          <w:highlight w:val="none"/>
        </w:rPr>
        <w:t>服务成果作出全面检查和对验收文件进行整理，并列出清单，作为甲方验收和使用的技术条件依据，检验的结果应随服务成果交给甲方。</w:t>
      </w:r>
    </w:p>
    <w:p w14:paraId="767166DD">
      <w:pPr>
        <w:keepNext w:val="0"/>
        <w:keepLines w:val="0"/>
        <w:pageBreakBefore w:val="0"/>
        <w:widowControl w:val="0"/>
        <w:kinsoku/>
        <w:overflowPunct/>
        <w:topLinePunct w:val="0"/>
        <w:autoSpaceDE/>
        <w:autoSpaceDN/>
        <w:bidi w:val="0"/>
        <w:adjustRightInd/>
        <w:snapToGrid w:val="0"/>
        <w:spacing w:before="120" w:after="120" w:line="380" w:lineRule="exact"/>
        <w:ind w:firstLine="420" w:firstLineChars="200"/>
        <w:textAlignment w:val="auto"/>
        <w:rPr>
          <w:rFonts w:ascii="宋体" w:hAnsi="Courier New" w:cs="Courier New"/>
          <w:szCs w:val="21"/>
          <w:highlight w:val="none"/>
        </w:rPr>
      </w:pPr>
      <w:r>
        <w:rPr>
          <w:rFonts w:hint="eastAsia" w:ascii="宋体" w:hAnsi="Courier New" w:cs="Courier New"/>
          <w:szCs w:val="21"/>
          <w:highlight w:val="none"/>
          <w:lang w:val="en-US" w:eastAsia="zh-CN"/>
        </w:rPr>
        <w:t>4</w:t>
      </w:r>
      <w:r>
        <w:rPr>
          <w:rFonts w:hint="eastAsia" w:ascii="宋体" w:hAnsi="Courier New" w:cs="Courier New"/>
          <w:szCs w:val="21"/>
          <w:highlight w:val="none"/>
        </w:rPr>
        <w:t>、对技术复杂的服务</w:t>
      </w:r>
      <w:r>
        <w:rPr>
          <w:rFonts w:hint="eastAsia" w:ascii="宋体" w:hAnsi="Courier New" w:cs="Courier New"/>
          <w:szCs w:val="21"/>
          <w:highlight w:val="none"/>
          <w:lang w:val="en-US" w:eastAsia="zh-CN"/>
        </w:rPr>
        <w:t>或服务成果</w:t>
      </w:r>
      <w:r>
        <w:rPr>
          <w:rFonts w:hint="eastAsia" w:ascii="宋体" w:hAnsi="Courier New" w:cs="Courier New"/>
          <w:szCs w:val="21"/>
          <w:highlight w:val="none"/>
        </w:rPr>
        <w:t>，甲方应请国家认可的专业检测机构参与初步验收及最终验收，并由其出具质量检测报告。</w:t>
      </w:r>
    </w:p>
    <w:p w14:paraId="47E5BEB8">
      <w:pPr>
        <w:keepNext w:val="0"/>
        <w:keepLines w:val="0"/>
        <w:pageBreakBefore w:val="0"/>
        <w:widowControl w:val="0"/>
        <w:kinsoku/>
        <w:overflowPunct/>
        <w:topLinePunct w:val="0"/>
        <w:autoSpaceDE/>
        <w:autoSpaceDN/>
        <w:bidi w:val="0"/>
        <w:adjustRightInd/>
        <w:snapToGrid w:val="0"/>
        <w:spacing w:before="120" w:after="120" w:line="380" w:lineRule="exact"/>
        <w:ind w:firstLine="420" w:firstLineChars="200"/>
        <w:textAlignment w:val="auto"/>
        <w:rPr>
          <w:rFonts w:hint="eastAsia" w:ascii="宋体" w:hAnsi="Courier New" w:cs="Courier New"/>
          <w:szCs w:val="21"/>
          <w:highlight w:val="none"/>
        </w:rPr>
      </w:pPr>
      <w:r>
        <w:rPr>
          <w:rFonts w:hint="eastAsia" w:ascii="宋体" w:hAnsi="Courier New" w:cs="Courier New"/>
          <w:szCs w:val="21"/>
          <w:highlight w:val="none"/>
          <w:lang w:val="en-US" w:eastAsia="zh-CN"/>
        </w:rPr>
        <w:t>5</w:t>
      </w:r>
      <w:r>
        <w:rPr>
          <w:rFonts w:hint="eastAsia" w:ascii="宋体" w:hAnsi="Courier New" w:cs="Courier New"/>
          <w:szCs w:val="21"/>
          <w:highlight w:val="none"/>
        </w:rPr>
        <w:t>、验收时乙方必须在现场，验收完毕后作出验收结果报告；验收费用由乙方负责。</w:t>
      </w:r>
    </w:p>
    <w:p w14:paraId="4A47C0E1">
      <w:pPr>
        <w:keepNext w:val="0"/>
        <w:keepLines w:val="0"/>
        <w:pageBreakBefore w:val="0"/>
        <w:widowControl w:val="0"/>
        <w:kinsoku/>
        <w:overflowPunct/>
        <w:topLinePunct w:val="0"/>
        <w:autoSpaceDE/>
        <w:autoSpaceDN/>
        <w:bidi w:val="0"/>
        <w:adjustRightInd/>
        <w:snapToGrid w:val="0"/>
        <w:spacing w:before="120" w:after="120" w:line="380" w:lineRule="exact"/>
        <w:ind w:firstLine="420" w:firstLineChars="200"/>
        <w:textAlignment w:val="auto"/>
        <w:rPr>
          <w:rFonts w:hint="default" w:ascii="宋体" w:hAnsi="Courier New" w:cs="Courier New"/>
          <w:szCs w:val="21"/>
          <w:highlight w:val="none"/>
        </w:rPr>
      </w:pPr>
      <w:r>
        <w:rPr>
          <w:rFonts w:hint="default" w:ascii="宋体" w:hAnsi="Courier New" w:cs="Courier New"/>
          <w:szCs w:val="21"/>
          <w:highlight w:val="none"/>
        </w:rPr>
        <w:t>6</w:t>
      </w:r>
      <w:r>
        <w:rPr>
          <w:rFonts w:hint="eastAsia" w:ascii="宋体" w:hAnsi="Courier New" w:cs="Courier New"/>
          <w:szCs w:val="21"/>
          <w:highlight w:val="none"/>
        </w:rPr>
        <w:t>、</w:t>
      </w:r>
      <w:r>
        <w:rPr>
          <w:rFonts w:hint="default" w:ascii="宋体" w:hAnsi="Courier New" w:cs="Courier New"/>
          <w:szCs w:val="21"/>
          <w:highlight w:val="none"/>
        </w:rPr>
        <w:t>甲方在初步验收或者最终验收过程中如发现乙方提供的服务或服务成果不满足采购文件、响应文件及本合同规定的，可暂缓向乙方付款，直到乙方及时完善并提交相应的服务或服务成果且经甲方验收合格后，方可办理付款。</w:t>
      </w:r>
    </w:p>
    <w:p w14:paraId="54E210F5">
      <w:pPr>
        <w:keepNext w:val="0"/>
        <w:keepLines w:val="0"/>
        <w:pageBreakBefore w:val="0"/>
        <w:widowControl w:val="0"/>
        <w:kinsoku/>
        <w:overflowPunct/>
        <w:topLinePunct w:val="0"/>
        <w:autoSpaceDE/>
        <w:autoSpaceDN/>
        <w:bidi w:val="0"/>
        <w:adjustRightInd/>
        <w:snapToGrid w:val="0"/>
        <w:spacing w:before="120" w:after="120" w:line="380" w:lineRule="exact"/>
        <w:ind w:firstLine="420" w:firstLineChars="200"/>
        <w:textAlignment w:val="auto"/>
        <w:rPr>
          <w:rFonts w:hint="default" w:ascii="宋体" w:hAnsi="Courier New" w:cs="Courier New"/>
          <w:szCs w:val="21"/>
          <w:highlight w:val="none"/>
        </w:rPr>
      </w:pPr>
      <w:r>
        <w:rPr>
          <w:rFonts w:hint="default" w:ascii="宋体" w:hAnsi="Courier New" w:cs="Courier New"/>
          <w:szCs w:val="21"/>
          <w:highlight w:val="none"/>
        </w:rPr>
        <w:t>7</w:t>
      </w:r>
      <w:r>
        <w:rPr>
          <w:rFonts w:hint="eastAsia" w:ascii="宋体" w:hAnsi="Courier New" w:cs="Courier New"/>
          <w:szCs w:val="21"/>
          <w:highlight w:val="none"/>
        </w:rPr>
        <w:t>、</w:t>
      </w:r>
      <w:r>
        <w:rPr>
          <w:rFonts w:hint="default" w:ascii="宋体" w:hAnsi="Courier New" w:cs="Courier New"/>
          <w:szCs w:val="21"/>
          <w:highlight w:val="none"/>
        </w:rPr>
        <w:t>甲方验收后以书面形式提出异议的，乙方应自收到甲方书面异议后</w:t>
      </w:r>
      <w:r>
        <w:rPr>
          <w:rFonts w:hint="eastAsia" w:ascii="宋体" w:hAnsi="Courier New" w:cs="Courier New"/>
          <w:szCs w:val="21"/>
          <w:highlight w:val="none"/>
          <w:lang w:val="en-US" w:eastAsia="zh-CN"/>
        </w:rPr>
        <w:t>七</w:t>
      </w:r>
      <w:r>
        <w:rPr>
          <w:rFonts w:hint="default" w:ascii="宋体" w:hAnsi="Courier New" w:cs="Courier New"/>
          <w:szCs w:val="21"/>
          <w:highlight w:val="none"/>
        </w:rPr>
        <w:t>个工作日内及时予以解决并重新通知甲方进行验收，否则甲方有权不予出具验收结果报告。如因最终验收不合格导致乙方逾期提供或提交的，乙方应承担本合同规定的逾期提供服务或提交服务成果的违约责任。</w:t>
      </w:r>
    </w:p>
    <w:p w14:paraId="5B8C77CF">
      <w:pPr>
        <w:keepNext w:val="0"/>
        <w:keepLines w:val="0"/>
        <w:pageBreakBefore w:val="0"/>
        <w:widowControl w:val="0"/>
        <w:kinsoku/>
        <w:overflowPunct/>
        <w:topLinePunct w:val="0"/>
        <w:autoSpaceDE/>
        <w:autoSpaceDN/>
        <w:bidi w:val="0"/>
        <w:adjustRightInd/>
        <w:snapToGrid w:val="0"/>
        <w:spacing w:before="120" w:after="120" w:line="380" w:lineRule="exact"/>
        <w:ind w:firstLine="420" w:firstLineChars="200"/>
        <w:textAlignment w:val="auto"/>
        <w:rPr>
          <w:rFonts w:ascii="宋体" w:hAnsi="Courier New" w:cs="Courier New"/>
          <w:szCs w:val="21"/>
          <w:highlight w:val="none"/>
        </w:rPr>
      </w:pPr>
      <w:r>
        <w:rPr>
          <w:rFonts w:hint="default" w:ascii="宋体" w:hAnsi="Courier New" w:cs="Courier New"/>
          <w:szCs w:val="21"/>
          <w:highlight w:val="none"/>
        </w:rPr>
        <w:t>8</w:t>
      </w:r>
      <w:r>
        <w:rPr>
          <w:rFonts w:hint="eastAsia" w:ascii="宋体" w:hAnsi="Courier New" w:cs="Courier New"/>
          <w:szCs w:val="21"/>
          <w:highlight w:val="none"/>
        </w:rPr>
        <w:t>、</w:t>
      </w:r>
      <w:r>
        <w:rPr>
          <w:rFonts w:hint="default" w:ascii="宋体" w:hAnsi="Courier New" w:cs="Courier New"/>
          <w:szCs w:val="21"/>
          <w:highlight w:val="none"/>
        </w:rPr>
        <w:t>验收合格并不使甲方丧失因质量问题而向乙方索赔和求偿的权利，同时不解除乙方对于服务或服务成果质量缺陷或瑕疵负有的相应保证责任。</w:t>
      </w:r>
    </w:p>
    <w:p w14:paraId="64F96DEA">
      <w:pPr>
        <w:keepNext w:val="0"/>
        <w:keepLines w:val="0"/>
        <w:pageBreakBefore w:val="0"/>
        <w:widowControl w:val="0"/>
        <w:kinsoku/>
        <w:overflowPunct/>
        <w:topLinePunct w:val="0"/>
        <w:autoSpaceDE/>
        <w:autoSpaceDN/>
        <w:bidi w:val="0"/>
        <w:adjustRightInd/>
        <w:snapToGrid w:val="0"/>
        <w:spacing w:line="380" w:lineRule="exact"/>
        <w:ind w:firstLine="422" w:firstLineChars="200"/>
        <w:textAlignment w:val="auto"/>
        <w:outlineLvl w:val="0"/>
        <w:rPr>
          <w:rFonts w:ascii="宋体" w:hAnsi="宋体"/>
          <w:b/>
          <w:szCs w:val="21"/>
          <w:highlight w:val="none"/>
        </w:rPr>
      </w:pPr>
      <w:r>
        <w:rPr>
          <w:rFonts w:hint="eastAsia" w:ascii="宋体" w:hAnsi="宋体"/>
          <w:b/>
          <w:szCs w:val="21"/>
          <w:highlight w:val="none"/>
        </w:rPr>
        <w:t>第</w:t>
      </w:r>
      <w:r>
        <w:rPr>
          <w:rFonts w:hint="eastAsia" w:ascii="宋体" w:hAnsi="宋体"/>
          <w:b/>
          <w:szCs w:val="21"/>
          <w:highlight w:val="none"/>
          <w:lang w:val="en-US" w:eastAsia="zh-CN"/>
        </w:rPr>
        <w:t>十</w:t>
      </w:r>
      <w:r>
        <w:rPr>
          <w:rFonts w:hint="eastAsia" w:ascii="宋体" w:hAnsi="宋体"/>
          <w:b/>
          <w:szCs w:val="21"/>
          <w:highlight w:val="none"/>
        </w:rPr>
        <w:t>条　违约责任</w:t>
      </w:r>
    </w:p>
    <w:p w14:paraId="7AD1F7FF">
      <w:pPr>
        <w:keepNext w:val="0"/>
        <w:keepLines w:val="0"/>
        <w:pageBreakBefore w:val="0"/>
        <w:widowControl w:val="0"/>
        <w:kinsoku/>
        <w:overflowPunct/>
        <w:topLinePunct w:val="0"/>
        <w:autoSpaceDE/>
        <w:autoSpaceDN/>
        <w:bidi w:val="0"/>
        <w:adjustRightInd/>
        <w:snapToGrid w:val="0"/>
        <w:spacing w:line="380" w:lineRule="exact"/>
        <w:ind w:firstLine="525" w:firstLineChars="250"/>
        <w:textAlignment w:val="auto"/>
        <w:rPr>
          <w:rFonts w:ascii="宋体" w:hAnsi="宋体"/>
          <w:color w:val="auto"/>
          <w:szCs w:val="21"/>
          <w:highlight w:val="none"/>
        </w:rPr>
      </w:pPr>
      <w:r>
        <w:rPr>
          <w:rFonts w:hint="eastAsia" w:ascii="宋体" w:hAnsi="宋体"/>
          <w:szCs w:val="21"/>
          <w:highlight w:val="none"/>
        </w:rPr>
        <w:t>1、乙方所提供的</w:t>
      </w:r>
      <w:r>
        <w:rPr>
          <w:rFonts w:hint="eastAsia" w:ascii="宋体" w:hAnsi="宋体"/>
          <w:szCs w:val="21"/>
          <w:highlight w:val="none"/>
          <w:lang w:val="en-US" w:eastAsia="zh-CN"/>
        </w:rPr>
        <w:t>服务或</w:t>
      </w:r>
      <w:r>
        <w:rPr>
          <w:rFonts w:hint="eastAsia" w:ascii="宋体" w:hAnsi="宋体"/>
          <w:szCs w:val="21"/>
          <w:highlight w:val="none"/>
        </w:rPr>
        <w:t>服务成果质量不合格</w:t>
      </w:r>
      <w:r>
        <w:rPr>
          <w:rFonts w:hint="eastAsia" w:ascii="宋体" w:hAnsi="宋体"/>
          <w:szCs w:val="21"/>
          <w:highlight w:val="none"/>
          <w:lang w:val="en-US" w:eastAsia="zh-CN"/>
        </w:rPr>
        <w:t>或不符合甲方要求</w:t>
      </w:r>
      <w:r>
        <w:rPr>
          <w:rFonts w:hint="eastAsia" w:ascii="宋体" w:hAnsi="宋体"/>
          <w:szCs w:val="21"/>
          <w:highlight w:val="none"/>
        </w:rPr>
        <w:t>的，应</w:t>
      </w:r>
      <w:r>
        <w:rPr>
          <w:rFonts w:hint="eastAsia" w:ascii="宋体" w:hAnsi="宋体"/>
          <w:szCs w:val="21"/>
          <w:highlight w:val="none"/>
          <w:lang w:val="en-US" w:eastAsia="zh-CN"/>
        </w:rPr>
        <w:t>在甲方要求期限内按甲方要求采取更换、整改等解决措施，未在甲方要求期限内按甲方</w:t>
      </w:r>
      <w:r>
        <w:rPr>
          <w:rFonts w:hint="eastAsia" w:ascii="宋体" w:hAnsi="宋体"/>
          <w:color w:val="auto"/>
          <w:szCs w:val="21"/>
          <w:highlight w:val="none"/>
          <w:lang w:val="en-US" w:eastAsia="zh-CN"/>
        </w:rPr>
        <w:t>要求解决的，</w:t>
      </w:r>
      <w:r>
        <w:rPr>
          <w:rFonts w:hint="eastAsia" w:ascii="宋体" w:hAnsi="宋体"/>
          <w:color w:val="auto"/>
          <w:szCs w:val="21"/>
          <w:highlight w:val="none"/>
        </w:rPr>
        <w:t>按</w:t>
      </w:r>
      <w:r>
        <w:rPr>
          <w:rFonts w:hint="eastAsia" w:ascii="宋体" w:hAnsi="宋体"/>
          <w:color w:val="auto"/>
          <w:szCs w:val="21"/>
          <w:highlight w:val="none"/>
          <w:lang w:val="en-US" w:eastAsia="zh-CN"/>
        </w:rPr>
        <w:t>乙方</w:t>
      </w:r>
      <w:r>
        <w:rPr>
          <w:rFonts w:hint="eastAsia" w:ascii="宋体" w:hAnsi="宋体"/>
          <w:color w:val="auto"/>
          <w:szCs w:val="21"/>
          <w:highlight w:val="none"/>
        </w:rPr>
        <w:t>逾期</w:t>
      </w:r>
      <w:r>
        <w:rPr>
          <w:rFonts w:hint="eastAsia" w:ascii="宋体" w:hAnsi="宋体"/>
          <w:color w:val="auto"/>
          <w:szCs w:val="21"/>
          <w:highlight w:val="none"/>
          <w:lang w:val="en-US" w:eastAsia="zh-CN"/>
        </w:rPr>
        <w:t>提供服务或提交</w:t>
      </w:r>
      <w:r>
        <w:rPr>
          <w:rFonts w:hint="eastAsia" w:ascii="宋体" w:hAnsi="宋体"/>
          <w:color w:val="auto"/>
          <w:szCs w:val="21"/>
          <w:highlight w:val="none"/>
        </w:rPr>
        <w:t>服务成果处罚；因质量问题甲方不同意接收的或特殊情况甲方同意接收的，乙方应向甲方支付</w:t>
      </w:r>
      <w:r>
        <w:rPr>
          <w:rFonts w:hint="eastAsia" w:ascii="宋体" w:hAnsi="宋体"/>
          <w:color w:val="auto"/>
          <w:szCs w:val="21"/>
          <w:highlight w:val="none"/>
          <w:lang w:val="en-US" w:eastAsia="zh-CN"/>
        </w:rPr>
        <w:t>合同总金额</w:t>
      </w:r>
      <w:r>
        <w:rPr>
          <w:rFonts w:hint="eastAsia" w:ascii="宋体" w:hAnsi="宋体"/>
          <w:color w:val="auto"/>
          <w:szCs w:val="21"/>
          <w:highlight w:val="none"/>
        </w:rPr>
        <w:t xml:space="preserve"> 5%违约金并赔偿甲方经济损失。                                       </w:t>
      </w:r>
    </w:p>
    <w:p w14:paraId="343EFC8A">
      <w:pPr>
        <w:keepNext w:val="0"/>
        <w:keepLines w:val="0"/>
        <w:pageBreakBefore w:val="0"/>
        <w:widowControl w:val="0"/>
        <w:kinsoku/>
        <w:overflowPunct/>
        <w:topLinePunct w:val="0"/>
        <w:autoSpaceDE/>
        <w:autoSpaceDN/>
        <w:bidi w:val="0"/>
        <w:adjustRightInd/>
        <w:snapToGrid w:val="0"/>
        <w:spacing w:line="38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2、甲方无故延期接收服务成果、乙方逾期</w:t>
      </w:r>
      <w:r>
        <w:rPr>
          <w:rFonts w:hint="eastAsia" w:ascii="宋体" w:hAnsi="宋体"/>
          <w:color w:val="auto"/>
          <w:szCs w:val="21"/>
          <w:highlight w:val="none"/>
          <w:lang w:val="en-US" w:eastAsia="zh-CN"/>
        </w:rPr>
        <w:t>提供服务或</w:t>
      </w:r>
      <w:r>
        <w:rPr>
          <w:rFonts w:hint="eastAsia" w:ascii="宋体" w:hAnsi="宋体"/>
          <w:color w:val="auto"/>
          <w:szCs w:val="21"/>
          <w:highlight w:val="none"/>
        </w:rPr>
        <w:t>提交服务成果的，每天向对方偿付</w:t>
      </w:r>
      <w:r>
        <w:rPr>
          <w:rFonts w:hint="eastAsia" w:ascii="宋体" w:hAnsi="宋体"/>
          <w:color w:val="auto"/>
          <w:szCs w:val="21"/>
          <w:highlight w:val="none"/>
          <w:lang w:val="en-US" w:eastAsia="zh-CN"/>
        </w:rPr>
        <w:t>合同总金额</w:t>
      </w:r>
      <w:r>
        <w:rPr>
          <w:rFonts w:hint="eastAsia" w:ascii="宋体" w:hAnsi="宋体"/>
          <w:color w:val="auto"/>
          <w:szCs w:val="21"/>
          <w:highlight w:val="none"/>
        </w:rPr>
        <w:t>3‰违约金，超过</w:t>
      </w:r>
      <w:r>
        <w:rPr>
          <w:rFonts w:hint="eastAsia" w:ascii="宋体" w:hAnsi="宋体"/>
          <w:color w:val="auto"/>
          <w:szCs w:val="21"/>
          <w:highlight w:val="none"/>
          <w:u w:val="single"/>
        </w:rPr>
        <w:t>20</w:t>
      </w:r>
      <w:r>
        <w:rPr>
          <w:rFonts w:hint="eastAsia" w:ascii="宋体" w:hAnsi="宋体"/>
          <w:color w:val="auto"/>
          <w:szCs w:val="21"/>
          <w:highlight w:val="none"/>
        </w:rPr>
        <w:t>天对方有权解除合同，违约方</w:t>
      </w:r>
      <w:r>
        <w:rPr>
          <w:rFonts w:hint="eastAsia" w:ascii="宋体" w:hAnsi="宋体"/>
          <w:color w:val="auto"/>
          <w:szCs w:val="21"/>
          <w:highlight w:val="none"/>
          <w:lang w:val="en-US" w:eastAsia="zh-CN"/>
        </w:rPr>
        <w:t>应向对方支付合同总金额20%的违约金，并</w:t>
      </w:r>
      <w:r>
        <w:rPr>
          <w:rFonts w:hint="eastAsia" w:ascii="宋体" w:hAnsi="宋体"/>
          <w:color w:val="auto"/>
          <w:szCs w:val="21"/>
          <w:highlight w:val="none"/>
        </w:rPr>
        <w:t>承担因此给对方造成经济损失；</w:t>
      </w:r>
      <w:r>
        <w:rPr>
          <w:rFonts w:hint="eastAsia" w:ascii="宋体" w:hAnsi="宋体"/>
          <w:color w:val="auto"/>
          <w:szCs w:val="21"/>
          <w:highlight w:val="none"/>
          <w:lang w:val="en-US" w:eastAsia="zh-CN"/>
        </w:rPr>
        <w:t>如甲方因此解除合同的，除上述责任外，乙方还应自收到甲方解除合同通知之日起5日内退还甲方已经支付的全部款项；</w:t>
      </w:r>
      <w:r>
        <w:rPr>
          <w:rFonts w:hint="eastAsia" w:ascii="宋体" w:hAnsi="宋体"/>
          <w:color w:val="auto"/>
          <w:szCs w:val="21"/>
          <w:highlight w:val="none"/>
        </w:rPr>
        <w:t>甲方逾期付服务成果款的，每天向乙方偿付逾期</w:t>
      </w:r>
      <w:r>
        <w:rPr>
          <w:rFonts w:hint="eastAsia" w:ascii="宋体" w:hAnsi="宋体"/>
          <w:color w:val="auto"/>
          <w:szCs w:val="21"/>
          <w:highlight w:val="none"/>
          <w:lang w:val="en-US" w:eastAsia="zh-CN"/>
        </w:rPr>
        <w:t>应付但尚未支付</w:t>
      </w:r>
      <w:r>
        <w:rPr>
          <w:rFonts w:hint="eastAsia" w:ascii="宋体" w:hAnsi="宋体"/>
          <w:color w:val="auto"/>
          <w:szCs w:val="21"/>
          <w:highlight w:val="none"/>
        </w:rPr>
        <w:t>服务成果款额</w:t>
      </w:r>
      <w:r>
        <w:rPr>
          <w:rFonts w:hint="eastAsia" w:ascii="宋体" w:hAnsi="宋体"/>
          <w:color w:val="auto"/>
          <w:szCs w:val="21"/>
          <w:highlight w:val="none"/>
          <w:u w:val="single"/>
        </w:rPr>
        <w:t xml:space="preserve">3‰ </w:t>
      </w:r>
      <w:r>
        <w:rPr>
          <w:rFonts w:hint="eastAsia" w:ascii="宋体" w:hAnsi="宋体"/>
          <w:color w:val="auto"/>
          <w:szCs w:val="21"/>
          <w:highlight w:val="none"/>
        </w:rPr>
        <w:t>滞纳金。</w:t>
      </w:r>
    </w:p>
    <w:p w14:paraId="252FA9FE">
      <w:pPr>
        <w:keepNext w:val="0"/>
        <w:keepLines w:val="0"/>
        <w:pageBreakBefore w:val="0"/>
        <w:widowControl w:val="0"/>
        <w:kinsoku/>
        <w:overflowPunct/>
        <w:topLinePunct w:val="0"/>
        <w:autoSpaceDE/>
        <w:autoSpaceDN/>
        <w:bidi w:val="0"/>
        <w:adjustRightInd/>
        <w:snapToGrid w:val="0"/>
        <w:spacing w:line="38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3、乙方未按本合同和投标文件中规定的服务承诺提供售后服务的，乙方应按本合同合计金额</w:t>
      </w:r>
      <w:r>
        <w:rPr>
          <w:rFonts w:hint="eastAsia" w:ascii="宋体" w:hAnsi="宋体"/>
          <w:color w:val="auto"/>
          <w:szCs w:val="21"/>
          <w:highlight w:val="none"/>
          <w:u w:val="single"/>
        </w:rPr>
        <w:t xml:space="preserve"> 5%</w:t>
      </w:r>
      <w:r>
        <w:rPr>
          <w:rFonts w:hint="eastAsia" w:ascii="宋体" w:hAnsi="宋体"/>
          <w:color w:val="auto"/>
          <w:szCs w:val="21"/>
          <w:highlight w:val="none"/>
        </w:rPr>
        <w:t>向甲方支付违约金。</w:t>
      </w:r>
    </w:p>
    <w:p w14:paraId="6897CD8D">
      <w:pPr>
        <w:keepNext w:val="0"/>
        <w:keepLines w:val="0"/>
        <w:pageBreakBefore w:val="0"/>
        <w:widowControl w:val="0"/>
        <w:kinsoku/>
        <w:overflowPunct/>
        <w:topLinePunct w:val="0"/>
        <w:autoSpaceDE/>
        <w:autoSpaceDN/>
        <w:bidi w:val="0"/>
        <w:adjustRightInd/>
        <w:snapToGrid w:val="0"/>
        <w:spacing w:line="38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4、乙方提供的服务成果在质量保证期内，因乙方和其它质量原因造成的问题，由乙方负责</w:t>
      </w:r>
      <w:r>
        <w:rPr>
          <w:rFonts w:hint="eastAsia" w:ascii="宋体" w:hAnsi="宋体"/>
          <w:color w:val="auto"/>
          <w:szCs w:val="21"/>
          <w:highlight w:val="none"/>
          <w:lang w:val="en-US" w:eastAsia="zh-CN"/>
        </w:rPr>
        <w:t>在甲方要求期限内解决并承担由此产生的全部费用</w:t>
      </w:r>
      <w:r>
        <w:rPr>
          <w:rFonts w:hint="eastAsia" w:ascii="宋体" w:hAnsi="宋体"/>
          <w:color w:val="auto"/>
          <w:szCs w:val="21"/>
          <w:highlight w:val="none"/>
        </w:rPr>
        <w:t>。</w:t>
      </w:r>
    </w:p>
    <w:p w14:paraId="4F8EEEDA">
      <w:pPr>
        <w:keepNext w:val="0"/>
        <w:keepLines w:val="0"/>
        <w:pageBreakBefore w:val="0"/>
        <w:widowControl w:val="0"/>
        <w:kinsoku/>
        <w:overflowPunct/>
        <w:topLinePunct w:val="0"/>
        <w:autoSpaceDE/>
        <w:autoSpaceDN/>
        <w:bidi w:val="0"/>
        <w:adjustRightInd/>
        <w:snapToGrid w:val="0"/>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5、如乙方提供的服务或服务成果侵犯了第三方合法权益而引发的任何纠纷或诉讼，均由乙方负责交涉并承担全部责任，同时乙方应当赔偿因此给甲方造成的全部损失（包括但不限于行政罚款、诉讼费、侵权赔偿、律师费、差旅费等）。</w:t>
      </w:r>
    </w:p>
    <w:p w14:paraId="392059E6">
      <w:pPr>
        <w:keepNext w:val="0"/>
        <w:keepLines w:val="0"/>
        <w:pageBreakBefore w:val="0"/>
        <w:widowControl w:val="0"/>
        <w:kinsoku/>
        <w:overflowPunct/>
        <w:topLinePunct w:val="0"/>
        <w:autoSpaceDE/>
        <w:autoSpaceDN/>
        <w:bidi w:val="0"/>
        <w:adjustRightInd/>
        <w:snapToGrid w:val="0"/>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6、除本合同另有约定外，</w:t>
      </w:r>
      <w:r>
        <w:rPr>
          <w:rFonts w:hint="eastAsia" w:ascii="宋体" w:hAnsi="宋体"/>
          <w:color w:val="auto"/>
          <w:szCs w:val="21"/>
          <w:highlight w:val="none"/>
        </w:rPr>
        <w:t>其它违约行为按</w:t>
      </w:r>
      <w:r>
        <w:rPr>
          <w:rFonts w:hint="eastAsia" w:ascii="宋体" w:hAnsi="宋体"/>
          <w:color w:val="auto"/>
          <w:szCs w:val="21"/>
          <w:highlight w:val="none"/>
          <w:lang w:val="en-US" w:eastAsia="zh-CN"/>
        </w:rPr>
        <w:t>合同总金额</w:t>
      </w:r>
      <w:r>
        <w:rPr>
          <w:rFonts w:hint="eastAsia" w:ascii="宋体" w:hAnsi="宋体"/>
          <w:color w:val="auto"/>
          <w:szCs w:val="21"/>
          <w:highlight w:val="none"/>
        </w:rPr>
        <w:t>5%收取违约金。</w:t>
      </w:r>
    </w:p>
    <w:p w14:paraId="648B064E">
      <w:pPr>
        <w:keepNext w:val="0"/>
        <w:keepLines w:val="0"/>
        <w:pageBreakBefore w:val="0"/>
        <w:widowControl w:val="0"/>
        <w:kinsoku/>
        <w:overflowPunct/>
        <w:topLinePunct w:val="0"/>
        <w:autoSpaceDE/>
        <w:autoSpaceDN/>
        <w:bidi w:val="0"/>
        <w:adjustRightInd/>
        <w:snapToGrid w:val="0"/>
        <w:spacing w:line="380" w:lineRule="exact"/>
        <w:ind w:firstLine="420" w:firstLineChars="200"/>
        <w:textAlignment w:val="auto"/>
        <w:rPr>
          <w:rFonts w:hint="eastAsia" w:ascii="宋体" w:hAnsi="宋体"/>
          <w:szCs w:val="21"/>
          <w:highlight w:val="none"/>
        </w:rPr>
      </w:pPr>
      <w:r>
        <w:rPr>
          <w:rFonts w:hint="eastAsia" w:ascii="宋体" w:hAnsi="宋体" w:eastAsia="宋体" w:cs="Times New Roman"/>
          <w:color w:val="auto"/>
          <w:szCs w:val="21"/>
          <w:highlight w:val="none"/>
          <w:lang w:val="en-US" w:eastAsia="zh-CN"/>
        </w:rPr>
        <w:t>7、</w:t>
      </w:r>
      <w:r>
        <w:rPr>
          <w:rFonts w:hint="eastAsia" w:ascii="宋体" w:hAnsi="宋体"/>
          <w:color w:val="auto"/>
          <w:szCs w:val="21"/>
          <w:highlight w:val="none"/>
        </w:rPr>
        <w:t>任何一方按照本合同约定要求违约方支付违约金的同时，仍有权要求违约方继续履行</w:t>
      </w:r>
      <w:r>
        <w:rPr>
          <w:rFonts w:hint="eastAsia" w:ascii="宋体" w:hAnsi="宋体"/>
          <w:szCs w:val="21"/>
          <w:highlight w:val="none"/>
        </w:rPr>
        <w:t>合同、采取补救措施，并有权按照己方实际损失情况要求违约方赔偿损失；任何一方按照本合同约定要求解除本合同的同时，仍有权要求违约方支付违约金和按照己方实际损失情况要求违约方赔偿损失；且守约方行使的任何权利救济方式均不视为其放弃了其他法定或者约定的权利救济方式。</w:t>
      </w:r>
    </w:p>
    <w:p w14:paraId="76AF473A">
      <w:pPr>
        <w:keepNext w:val="0"/>
        <w:keepLines w:val="0"/>
        <w:pageBreakBefore w:val="0"/>
        <w:widowControl w:val="0"/>
        <w:kinsoku/>
        <w:overflowPunct/>
        <w:topLinePunct w:val="0"/>
        <w:autoSpaceDE/>
        <w:autoSpaceDN/>
        <w:bidi w:val="0"/>
        <w:adjustRightInd/>
        <w:snapToGrid w:val="0"/>
        <w:spacing w:line="380" w:lineRule="exact"/>
        <w:ind w:firstLine="420" w:firstLineChars="200"/>
        <w:textAlignment w:val="auto"/>
        <w:rPr>
          <w:rFonts w:hint="eastAsia" w:ascii="宋体" w:hAnsi="宋体"/>
          <w:szCs w:val="21"/>
          <w:highlight w:val="none"/>
        </w:rPr>
      </w:pPr>
      <w:r>
        <w:rPr>
          <w:rFonts w:hint="eastAsia" w:ascii="宋体" w:hAnsi="宋体"/>
          <w:szCs w:val="21"/>
          <w:highlight w:val="none"/>
          <w:lang w:val="en-US" w:eastAsia="zh-CN"/>
        </w:rPr>
        <w:t>8</w:t>
      </w:r>
      <w:r>
        <w:rPr>
          <w:rFonts w:hint="eastAsia" w:ascii="宋体" w:hAnsi="宋体"/>
          <w:szCs w:val="21"/>
          <w:highlight w:val="none"/>
        </w:rPr>
        <w:t>、乙方支付的违约金不足以弥补甲方损失的，还应承担赔偿责任，甲方有权继续追索。乙方应支付给甲方的违约金或赔偿金，甲方有权从任何应支付但尚未支付给乙方的款项中直接抵扣。</w:t>
      </w:r>
    </w:p>
    <w:p w14:paraId="5862F78E">
      <w:pPr>
        <w:keepNext w:val="0"/>
        <w:keepLines w:val="0"/>
        <w:pageBreakBefore w:val="0"/>
        <w:widowControl w:val="0"/>
        <w:kinsoku/>
        <w:overflowPunct/>
        <w:topLinePunct w:val="0"/>
        <w:autoSpaceDE/>
        <w:autoSpaceDN/>
        <w:bidi w:val="0"/>
        <w:adjustRightInd/>
        <w:snapToGrid w:val="0"/>
        <w:spacing w:line="380" w:lineRule="exact"/>
        <w:ind w:firstLine="420" w:firstLineChars="200"/>
        <w:textAlignment w:val="auto"/>
        <w:rPr>
          <w:rFonts w:hint="eastAsia" w:ascii="宋体" w:hAnsi="宋体" w:eastAsia="宋体" w:cs="Times New Roman"/>
          <w:szCs w:val="21"/>
          <w:highlight w:val="none"/>
        </w:rPr>
      </w:pPr>
      <w:r>
        <w:rPr>
          <w:rFonts w:hint="eastAsia" w:ascii="宋体" w:hAnsi="宋体" w:cs="Times New Roman"/>
          <w:szCs w:val="21"/>
          <w:highlight w:val="none"/>
          <w:lang w:val="en-US" w:eastAsia="zh-CN"/>
        </w:rPr>
        <w:t>9、</w:t>
      </w:r>
      <w:r>
        <w:rPr>
          <w:rFonts w:hint="eastAsia" w:ascii="宋体" w:hAnsi="宋体" w:eastAsia="宋体" w:cs="Times New Roman"/>
          <w:szCs w:val="21"/>
          <w:highlight w:val="none"/>
        </w:rPr>
        <w:t>除承担相应违约责任外，违约方还应承担守约方为实现债权和担保权利而支付的全部费用(包括但不限于：诉讼费用、财产保全费用、财产保全保险担保费用、调查取证费用、公证费用、律师费用、差旅费用等)。</w:t>
      </w:r>
    </w:p>
    <w:p w14:paraId="3F9DBFBF">
      <w:pPr>
        <w:keepNext w:val="0"/>
        <w:keepLines w:val="0"/>
        <w:pageBreakBefore w:val="0"/>
        <w:widowControl w:val="0"/>
        <w:kinsoku/>
        <w:overflowPunct/>
        <w:topLinePunct w:val="0"/>
        <w:autoSpaceDE/>
        <w:autoSpaceDN/>
        <w:bidi w:val="0"/>
        <w:adjustRightInd/>
        <w:snapToGrid w:val="0"/>
        <w:spacing w:before="120" w:after="120" w:line="380" w:lineRule="exact"/>
        <w:ind w:firstLine="413" w:firstLineChars="196"/>
        <w:textAlignment w:val="auto"/>
        <w:outlineLvl w:val="0"/>
        <w:rPr>
          <w:rFonts w:ascii="宋体" w:hAnsi="Courier New" w:cs="Courier New"/>
          <w:b/>
          <w:szCs w:val="21"/>
          <w:highlight w:val="none"/>
        </w:rPr>
      </w:pPr>
      <w:r>
        <w:rPr>
          <w:rFonts w:hint="eastAsia" w:ascii="宋体" w:hAnsi="Courier New" w:cs="Courier New"/>
          <w:b/>
          <w:szCs w:val="21"/>
          <w:highlight w:val="none"/>
        </w:rPr>
        <w:t>第十</w:t>
      </w:r>
      <w:r>
        <w:rPr>
          <w:rFonts w:hint="eastAsia" w:ascii="宋体" w:hAnsi="Courier New" w:cs="Courier New"/>
          <w:b/>
          <w:szCs w:val="21"/>
          <w:highlight w:val="none"/>
          <w:lang w:val="en-US" w:eastAsia="zh-CN"/>
        </w:rPr>
        <w:t>一</w:t>
      </w:r>
      <w:r>
        <w:rPr>
          <w:rFonts w:hint="eastAsia" w:ascii="宋体" w:hAnsi="Courier New" w:cs="Courier New"/>
          <w:b/>
          <w:szCs w:val="21"/>
          <w:highlight w:val="none"/>
        </w:rPr>
        <w:t>条 不可抗力事件处理</w:t>
      </w:r>
    </w:p>
    <w:p w14:paraId="3683B738">
      <w:pPr>
        <w:keepNext w:val="0"/>
        <w:keepLines w:val="0"/>
        <w:pageBreakBefore w:val="0"/>
        <w:widowControl w:val="0"/>
        <w:kinsoku/>
        <w:overflowPunct/>
        <w:topLinePunct w:val="0"/>
        <w:autoSpaceDE/>
        <w:autoSpaceDN/>
        <w:bidi w:val="0"/>
        <w:adjustRightInd/>
        <w:snapToGrid w:val="0"/>
        <w:spacing w:before="120" w:after="120" w:line="380" w:lineRule="exact"/>
        <w:ind w:firstLine="420" w:firstLineChars="200"/>
        <w:textAlignment w:val="auto"/>
        <w:rPr>
          <w:rFonts w:ascii="宋体" w:hAnsi="Courier New" w:cs="Courier New"/>
          <w:szCs w:val="21"/>
          <w:highlight w:val="none"/>
        </w:rPr>
      </w:pPr>
      <w:r>
        <w:rPr>
          <w:rFonts w:hint="eastAsia" w:ascii="宋体" w:hAnsi="Courier New" w:cs="Courier New"/>
          <w:szCs w:val="21"/>
          <w:highlight w:val="none"/>
        </w:rPr>
        <w:t>1、在合同有效期内，任何一方因不可抗力事件导致不能履行合同，则合同履行期可延长，其延长期与不可抗力影响期相同。</w:t>
      </w:r>
    </w:p>
    <w:p w14:paraId="721E505A">
      <w:pPr>
        <w:keepNext w:val="0"/>
        <w:keepLines w:val="0"/>
        <w:pageBreakBefore w:val="0"/>
        <w:widowControl w:val="0"/>
        <w:kinsoku/>
        <w:overflowPunct/>
        <w:topLinePunct w:val="0"/>
        <w:autoSpaceDE/>
        <w:autoSpaceDN/>
        <w:bidi w:val="0"/>
        <w:adjustRightInd/>
        <w:snapToGrid w:val="0"/>
        <w:spacing w:before="120" w:after="120" w:line="380" w:lineRule="exact"/>
        <w:ind w:firstLine="420" w:firstLineChars="200"/>
        <w:textAlignment w:val="auto"/>
        <w:rPr>
          <w:rFonts w:ascii="宋体" w:hAnsi="Courier New" w:cs="Courier New"/>
          <w:szCs w:val="21"/>
          <w:highlight w:val="none"/>
        </w:rPr>
      </w:pPr>
      <w:r>
        <w:rPr>
          <w:rFonts w:hint="eastAsia" w:ascii="宋体" w:hAnsi="Courier New" w:cs="Courier New"/>
          <w:szCs w:val="21"/>
          <w:highlight w:val="none"/>
        </w:rPr>
        <w:t>2、不可抗力事件发生后，应立即通知对方，并寄送有关权威机构出具的证明。</w:t>
      </w:r>
    </w:p>
    <w:p w14:paraId="08305C05">
      <w:pPr>
        <w:keepNext w:val="0"/>
        <w:keepLines w:val="0"/>
        <w:pageBreakBefore w:val="0"/>
        <w:widowControl w:val="0"/>
        <w:kinsoku/>
        <w:overflowPunct/>
        <w:topLinePunct w:val="0"/>
        <w:autoSpaceDE/>
        <w:autoSpaceDN/>
        <w:bidi w:val="0"/>
        <w:adjustRightInd/>
        <w:snapToGrid w:val="0"/>
        <w:spacing w:before="120" w:after="120" w:line="380" w:lineRule="exact"/>
        <w:ind w:firstLine="420" w:firstLineChars="200"/>
        <w:textAlignment w:val="auto"/>
        <w:rPr>
          <w:rFonts w:ascii="宋体" w:hAnsi="Courier New" w:cs="Courier New"/>
          <w:szCs w:val="21"/>
          <w:highlight w:val="none"/>
        </w:rPr>
      </w:pPr>
      <w:r>
        <w:rPr>
          <w:rFonts w:hint="eastAsia" w:ascii="宋体" w:hAnsi="Courier New" w:cs="Courier New"/>
          <w:szCs w:val="21"/>
          <w:highlight w:val="none"/>
        </w:rPr>
        <w:t>3、不可抗力事件延续一百二十天以上，双方应通过友好协商，确定是否继续履行合同。</w:t>
      </w:r>
    </w:p>
    <w:p w14:paraId="1A1A1BC3">
      <w:pPr>
        <w:keepNext w:val="0"/>
        <w:keepLines w:val="0"/>
        <w:pageBreakBefore w:val="0"/>
        <w:widowControl w:val="0"/>
        <w:kinsoku/>
        <w:overflowPunct/>
        <w:topLinePunct w:val="0"/>
        <w:autoSpaceDE/>
        <w:autoSpaceDN/>
        <w:bidi w:val="0"/>
        <w:adjustRightInd/>
        <w:snapToGrid w:val="0"/>
        <w:spacing w:line="380" w:lineRule="exact"/>
        <w:ind w:firstLine="422" w:firstLineChars="200"/>
        <w:textAlignment w:val="auto"/>
        <w:outlineLvl w:val="0"/>
        <w:rPr>
          <w:rFonts w:ascii="宋体" w:hAnsi="宋体"/>
          <w:szCs w:val="21"/>
          <w:highlight w:val="none"/>
        </w:rPr>
      </w:pPr>
      <w:r>
        <w:rPr>
          <w:rFonts w:hint="eastAsia" w:ascii="宋体" w:hAnsi="宋体"/>
          <w:b/>
          <w:szCs w:val="21"/>
          <w:highlight w:val="none"/>
        </w:rPr>
        <w:t>第十</w:t>
      </w:r>
      <w:r>
        <w:rPr>
          <w:rFonts w:hint="eastAsia" w:ascii="宋体" w:hAnsi="宋体"/>
          <w:b/>
          <w:szCs w:val="21"/>
          <w:highlight w:val="none"/>
          <w:lang w:val="en-US" w:eastAsia="zh-CN"/>
        </w:rPr>
        <w:t>二</w:t>
      </w:r>
      <w:r>
        <w:rPr>
          <w:rFonts w:hint="eastAsia" w:ascii="宋体" w:hAnsi="宋体"/>
          <w:b/>
          <w:szCs w:val="21"/>
          <w:highlight w:val="none"/>
        </w:rPr>
        <w:t>条  合同争议解决</w:t>
      </w:r>
    </w:p>
    <w:p w14:paraId="5B23D0D9">
      <w:pPr>
        <w:keepNext w:val="0"/>
        <w:keepLines w:val="0"/>
        <w:pageBreakBefore w:val="0"/>
        <w:widowControl w:val="0"/>
        <w:kinsoku/>
        <w:overflowPunct/>
        <w:topLinePunct w:val="0"/>
        <w:autoSpaceDE/>
        <w:autoSpaceDN/>
        <w:bidi w:val="0"/>
        <w:adjustRightInd/>
        <w:snapToGrid w:val="0"/>
        <w:spacing w:line="380" w:lineRule="exact"/>
        <w:ind w:firstLine="420" w:firstLineChars="200"/>
        <w:textAlignment w:val="auto"/>
        <w:rPr>
          <w:rFonts w:ascii="宋体" w:hAnsi="宋体"/>
          <w:szCs w:val="21"/>
          <w:highlight w:val="none"/>
        </w:rPr>
      </w:pPr>
      <w:r>
        <w:rPr>
          <w:rFonts w:hint="eastAsia" w:ascii="宋体" w:hAnsi="宋体"/>
          <w:szCs w:val="21"/>
          <w:highlight w:val="none"/>
        </w:rPr>
        <w:t>1、因服务成果质量问题发生争议的，</w:t>
      </w:r>
      <w:r>
        <w:rPr>
          <w:rFonts w:hint="eastAsia" w:ascii="宋体" w:hAnsi="宋体"/>
          <w:szCs w:val="21"/>
          <w:highlight w:val="none"/>
          <w:lang w:val="en-US" w:eastAsia="zh-CN"/>
        </w:rPr>
        <w:t>甲方有权</w:t>
      </w:r>
      <w:r>
        <w:rPr>
          <w:rFonts w:hint="eastAsia" w:ascii="宋体" w:hAnsi="宋体"/>
          <w:szCs w:val="21"/>
          <w:highlight w:val="none"/>
        </w:rPr>
        <w:t>邀请国家认可的质量检测机构对服务成果质量进行鉴定。</w:t>
      </w:r>
      <w:r>
        <w:rPr>
          <w:rFonts w:hint="eastAsia" w:ascii="宋体" w:hAnsi="宋体"/>
          <w:szCs w:val="21"/>
          <w:highlight w:val="none"/>
          <w:lang w:val="en-US" w:eastAsia="zh-CN"/>
        </w:rPr>
        <w:t>鉴定结果为</w:t>
      </w:r>
      <w:r>
        <w:rPr>
          <w:rFonts w:hint="eastAsia" w:ascii="宋体" w:hAnsi="宋体"/>
          <w:szCs w:val="21"/>
          <w:highlight w:val="none"/>
        </w:rPr>
        <w:t>服务成果符合</w:t>
      </w:r>
      <w:r>
        <w:rPr>
          <w:rFonts w:hint="eastAsia" w:ascii="宋体" w:hAnsi="宋体"/>
          <w:szCs w:val="21"/>
          <w:highlight w:val="none"/>
          <w:lang w:val="en-US" w:eastAsia="zh-CN"/>
        </w:rPr>
        <w:t>合同约定</w:t>
      </w:r>
      <w:r>
        <w:rPr>
          <w:rFonts w:hint="eastAsia" w:ascii="宋体" w:hAnsi="宋体"/>
          <w:szCs w:val="21"/>
          <w:highlight w:val="none"/>
        </w:rPr>
        <w:t>标准的，鉴定费由甲方承担；</w:t>
      </w:r>
      <w:r>
        <w:rPr>
          <w:rFonts w:hint="eastAsia" w:ascii="宋体" w:hAnsi="宋体"/>
          <w:szCs w:val="21"/>
          <w:highlight w:val="none"/>
          <w:lang w:val="en-US" w:eastAsia="zh-CN"/>
        </w:rPr>
        <w:t>鉴定结果为</w:t>
      </w:r>
      <w:r>
        <w:rPr>
          <w:rFonts w:hint="eastAsia" w:ascii="宋体" w:hAnsi="宋体"/>
          <w:szCs w:val="21"/>
          <w:highlight w:val="none"/>
        </w:rPr>
        <w:t>服务成果不符合</w:t>
      </w:r>
      <w:r>
        <w:rPr>
          <w:rFonts w:hint="eastAsia" w:ascii="宋体" w:hAnsi="宋体"/>
          <w:szCs w:val="21"/>
          <w:highlight w:val="none"/>
          <w:lang w:val="en-US" w:eastAsia="zh-CN"/>
        </w:rPr>
        <w:t>合同约定</w:t>
      </w:r>
      <w:r>
        <w:rPr>
          <w:rFonts w:hint="eastAsia" w:ascii="宋体" w:hAnsi="宋体"/>
          <w:szCs w:val="21"/>
          <w:highlight w:val="none"/>
        </w:rPr>
        <w:t>标准的，鉴定费由乙方承担。</w:t>
      </w:r>
    </w:p>
    <w:p w14:paraId="5C55D212">
      <w:pPr>
        <w:keepNext w:val="0"/>
        <w:keepLines w:val="0"/>
        <w:pageBreakBefore w:val="0"/>
        <w:widowControl w:val="0"/>
        <w:kinsoku/>
        <w:overflowPunct/>
        <w:topLinePunct w:val="0"/>
        <w:autoSpaceDE/>
        <w:autoSpaceDN/>
        <w:bidi w:val="0"/>
        <w:adjustRightInd/>
        <w:snapToGrid w:val="0"/>
        <w:spacing w:line="380" w:lineRule="exact"/>
        <w:ind w:firstLine="420" w:firstLineChars="200"/>
        <w:textAlignment w:val="auto"/>
        <w:rPr>
          <w:rFonts w:ascii="宋体" w:hAnsi="宋体"/>
          <w:szCs w:val="21"/>
          <w:highlight w:val="none"/>
        </w:rPr>
      </w:pPr>
      <w:r>
        <w:rPr>
          <w:rFonts w:hint="eastAsia" w:ascii="宋体" w:hAnsi="宋体"/>
          <w:szCs w:val="21"/>
          <w:highlight w:val="none"/>
        </w:rPr>
        <w:t>2、因履行本合同引起的或与本合同有关的争议，甲乙双方应首先通过友好协商解决，如果协商不能解决，向甲方所在地人民法院提起诉讼。</w:t>
      </w:r>
    </w:p>
    <w:p w14:paraId="1047B5CD">
      <w:pPr>
        <w:keepNext w:val="0"/>
        <w:keepLines w:val="0"/>
        <w:pageBreakBefore w:val="0"/>
        <w:widowControl w:val="0"/>
        <w:kinsoku/>
        <w:overflowPunct/>
        <w:topLinePunct w:val="0"/>
        <w:autoSpaceDE/>
        <w:autoSpaceDN/>
        <w:bidi w:val="0"/>
        <w:adjustRightInd/>
        <w:snapToGrid w:val="0"/>
        <w:spacing w:line="380" w:lineRule="exact"/>
        <w:ind w:firstLine="420" w:firstLineChars="200"/>
        <w:textAlignment w:val="auto"/>
        <w:rPr>
          <w:rFonts w:ascii="宋体" w:hAnsi="宋体"/>
          <w:szCs w:val="21"/>
          <w:highlight w:val="none"/>
        </w:rPr>
      </w:pPr>
      <w:r>
        <w:rPr>
          <w:rFonts w:hint="eastAsia" w:ascii="宋体" w:hAnsi="宋体"/>
          <w:szCs w:val="21"/>
          <w:highlight w:val="none"/>
        </w:rPr>
        <w:t>3、诉讼期间，本合同继续履行。</w:t>
      </w:r>
    </w:p>
    <w:p w14:paraId="0E3866C4">
      <w:pPr>
        <w:keepNext w:val="0"/>
        <w:keepLines w:val="0"/>
        <w:pageBreakBefore w:val="0"/>
        <w:widowControl w:val="0"/>
        <w:kinsoku/>
        <w:overflowPunct/>
        <w:topLinePunct w:val="0"/>
        <w:autoSpaceDE/>
        <w:autoSpaceDN/>
        <w:bidi w:val="0"/>
        <w:adjustRightInd/>
        <w:snapToGrid w:val="0"/>
        <w:spacing w:before="120" w:after="120" w:line="380" w:lineRule="exact"/>
        <w:ind w:left="561" w:leftChars="267"/>
        <w:textAlignment w:val="auto"/>
        <w:outlineLvl w:val="0"/>
        <w:rPr>
          <w:rFonts w:ascii="宋体" w:hAnsi="Courier New" w:cs="Courier New"/>
          <w:b/>
          <w:szCs w:val="21"/>
          <w:highlight w:val="none"/>
        </w:rPr>
      </w:pPr>
      <w:r>
        <w:rPr>
          <w:rFonts w:hint="eastAsia" w:ascii="宋体" w:hAnsi="Courier New" w:cs="Courier New"/>
          <w:b/>
          <w:szCs w:val="21"/>
          <w:highlight w:val="none"/>
        </w:rPr>
        <w:t>第十</w:t>
      </w:r>
      <w:r>
        <w:rPr>
          <w:rFonts w:hint="eastAsia" w:ascii="宋体" w:hAnsi="Courier New" w:cs="Courier New"/>
          <w:b/>
          <w:szCs w:val="21"/>
          <w:highlight w:val="none"/>
          <w:lang w:val="en-US" w:eastAsia="zh-CN"/>
        </w:rPr>
        <w:t>三</w:t>
      </w:r>
      <w:r>
        <w:rPr>
          <w:rFonts w:hint="eastAsia" w:ascii="宋体" w:hAnsi="Courier New" w:cs="Courier New"/>
          <w:b/>
          <w:szCs w:val="21"/>
          <w:highlight w:val="none"/>
        </w:rPr>
        <w:t>条 合同生效及其它</w:t>
      </w:r>
    </w:p>
    <w:p w14:paraId="743CFE31">
      <w:pPr>
        <w:keepNext w:val="0"/>
        <w:keepLines w:val="0"/>
        <w:pageBreakBefore w:val="0"/>
        <w:widowControl w:val="0"/>
        <w:kinsoku/>
        <w:overflowPunct/>
        <w:topLinePunct w:val="0"/>
        <w:autoSpaceDE/>
        <w:autoSpaceDN/>
        <w:bidi w:val="0"/>
        <w:adjustRightInd/>
        <w:snapToGrid w:val="0"/>
        <w:spacing w:before="120" w:after="120" w:line="380" w:lineRule="exact"/>
        <w:ind w:firstLine="413" w:firstLineChars="196"/>
        <w:textAlignment w:val="auto"/>
        <w:rPr>
          <w:rFonts w:ascii="宋体" w:hAnsi="Courier New" w:cs="Courier New"/>
          <w:b/>
          <w:szCs w:val="21"/>
          <w:highlight w:val="none"/>
        </w:rPr>
      </w:pPr>
      <w:r>
        <w:rPr>
          <w:rFonts w:hint="eastAsia" w:ascii="宋体" w:hAnsi="Courier New" w:cs="Courier New"/>
          <w:b/>
          <w:szCs w:val="21"/>
          <w:highlight w:val="none"/>
        </w:rPr>
        <w:t>1、</w:t>
      </w:r>
      <w:r>
        <w:rPr>
          <w:rFonts w:hint="eastAsia" w:ascii="宋体" w:hAnsi="Courier New" w:cs="Courier New"/>
          <w:b/>
          <w:szCs w:val="21"/>
          <w:highlight w:val="none"/>
          <w:lang w:val="en-US" w:eastAsia="zh-CN"/>
        </w:rPr>
        <w:t>本</w:t>
      </w:r>
      <w:r>
        <w:rPr>
          <w:rFonts w:hint="eastAsia" w:ascii="宋体" w:hAnsi="Courier New" w:cs="Courier New"/>
          <w:b/>
          <w:szCs w:val="21"/>
          <w:highlight w:val="none"/>
        </w:rPr>
        <w:t>合同经双方法定代表人(负责人)或授权代表签字并加盖单位公章后生效。合同附件作为本合同的有效组成部分，与合同正文具有同等法律效力。</w:t>
      </w:r>
    </w:p>
    <w:p w14:paraId="7CACCC20">
      <w:pPr>
        <w:keepNext w:val="0"/>
        <w:keepLines w:val="0"/>
        <w:pageBreakBefore w:val="0"/>
        <w:widowControl w:val="0"/>
        <w:kinsoku/>
        <w:overflowPunct/>
        <w:topLinePunct w:val="0"/>
        <w:autoSpaceDE/>
        <w:autoSpaceDN/>
        <w:bidi w:val="0"/>
        <w:adjustRightInd/>
        <w:snapToGrid w:val="0"/>
        <w:spacing w:before="120" w:after="120" w:line="380" w:lineRule="exact"/>
        <w:ind w:firstLine="413" w:firstLineChars="196"/>
        <w:textAlignment w:val="auto"/>
        <w:rPr>
          <w:rFonts w:ascii="宋体" w:hAnsi="Courier New" w:cs="Courier New"/>
          <w:b/>
          <w:szCs w:val="21"/>
          <w:highlight w:val="none"/>
        </w:rPr>
      </w:pPr>
      <w:r>
        <w:rPr>
          <w:rFonts w:hint="eastAsia" w:ascii="宋体" w:hAnsi="Courier New" w:cs="Courier New"/>
          <w:b/>
          <w:szCs w:val="21"/>
          <w:highlight w:val="none"/>
        </w:rPr>
        <w:t>2、</w:t>
      </w:r>
      <w:r>
        <w:rPr>
          <w:rFonts w:hint="eastAsia" w:ascii="宋体" w:hAnsi="Courier New" w:cs="Courier New"/>
          <w:b/>
          <w:szCs w:val="21"/>
          <w:highlight w:val="none"/>
          <w:lang w:val="en-US" w:eastAsia="zh-CN"/>
        </w:rPr>
        <w:t>本</w:t>
      </w:r>
      <w:r>
        <w:rPr>
          <w:rFonts w:hint="eastAsia" w:ascii="宋体" w:hAnsi="Courier New" w:cs="Courier New"/>
          <w:b/>
          <w:szCs w:val="21"/>
          <w:highlight w:val="none"/>
        </w:rPr>
        <w:t>合同执行中涉及采购资金和采购内容修改或补充的，须签书面补充协议，方可作为主合同不可分割的一部分。</w:t>
      </w:r>
    </w:p>
    <w:p w14:paraId="537ADA00">
      <w:pPr>
        <w:keepNext w:val="0"/>
        <w:keepLines w:val="0"/>
        <w:pageBreakBefore w:val="0"/>
        <w:widowControl w:val="0"/>
        <w:kinsoku/>
        <w:overflowPunct/>
        <w:topLinePunct w:val="0"/>
        <w:autoSpaceDE/>
        <w:autoSpaceDN/>
        <w:bidi w:val="0"/>
        <w:adjustRightInd/>
        <w:snapToGrid w:val="0"/>
        <w:spacing w:before="120" w:after="120" w:line="380" w:lineRule="exact"/>
        <w:ind w:firstLine="413" w:firstLineChars="196"/>
        <w:textAlignment w:val="auto"/>
        <w:rPr>
          <w:rFonts w:ascii="宋体" w:hAnsi="Courier New" w:cs="Courier New"/>
          <w:b/>
          <w:szCs w:val="21"/>
          <w:highlight w:val="none"/>
        </w:rPr>
      </w:pPr>
      <w:r>
        <w:rPr>
          <w:rFonts w:hint="eastAsia" w:ascii="宋体" w:hAnsi="Courier New" w:cs="Courier New"/>
          <w:b/>
          <w:szCs w:val="21"/>
          <w:highlight w:val="none"/>
        </w:rPr>
        <w:t>3、本合同未尽事宜，遵照《中华人民共和国民法典》有关</w:t>
      </w:r>
      <w:r>
        <w:rPr>
          <w:rFonts w:hint="eastAsia" w:ascii="宋体" w:hAnsi="Courier New" w:cs="Courier New"/>
          <w:b/>
          <w:szCs w:val="21"/>
          <w:highlight w:val="none"/>
          <w:lang w:val="en-US" w:eastAsia="zh-CN"/>
        </w:rPr>
        <w:t>规定</w:t>
      </w:r>
      <w:r>
        <w:rPr>
          <w:rFonts w:hint="eastAsia" w:ascii="宋体" w:hAnsi="Courier New" w:cs="Courier New"/>
          <w:b/>
          <w:szCs w:val="21"/>
          <w:highlight w:val="none"/>
        </w:rPr>
        <w:t>执行。</w:t>
      </w:r>
    </w:p>
    <w:p w14:paraId="0FA61097">
      <w:pPr>
        <w:keepNext w:val="0"/>
        <w:keepLines w:val="0"/>
        <w:pageBreakBefore w:val="0"/>
        <w:widowControl w:val="0"/>
        <w:kinsoku/>
        <w:overflowPunct/>
        <w:topLinePunct w:val="0"/>
        <w:autoSpaceDE/>
        <w:autoSpaceDN/>
        <w:bidi w:val="0"/>
        <w:adjustRightInd/>
        <w:snapToGrid w:val="0"/>
        <w:spacing w:line="380" w:lineRule="exact"/>
        <w:ind w:firstLine="525" w:firstLineChars="249"/>
        <w:textAlignment w:val="auto"/>
        <w:outlineLvl w:val="0"/>
        <w:rPr>
          <w:rFonts w:ascii="宋体" w:hAnsi="宋体"/>
          <w:b/>
          <w:szCs w:val="21"/>
          <w:highlight w:val="none"/>
        </w:rPr>
      </w:pPr>
      <w:r>
        <w:rPr>
          <w:rFonts w:hint="eastAsia" w:ascii="宋体" w:hAnsi="宋体"/>
          <w:b/>
          <w:szCs w:val="21"/>
          <w:highlight w:val="none"/>
        </w:rPr>
        <w:t>第十</w:t>
      </w:r>
      <w:r>
        <w:rPr>
          <w:rFonts w:hint="eastAsia" w:ascii="宋体" w:hAnsi="宋体"/>
          <w:b/>
          <w:szCs w:val="21"/>
          <w:highlight w:val="none"/>
          <w:lang w:val="en-US" w:eastAsia="zh-CN"/>
        </w:rPr>
        <w:t>四</w:t>
      </w:r>
      <w:r>
        <w:rPr>
          <w:rFonts w:hint="eastAsia" w:ascii="宋体" w:hAnsi="宋体"/>
          <w:b/>
          <w:szCs w:val="21"/>
          <w:highlight w:val="none"/>
        </w:rPr>
        <w:t>条　合同的变更、终止与转让</w:t>
      </w:r>
    </w:p>
    <w:p w14:paraId="1B0F047B">
      <w:pPr>
        <w:keepNext w:val="0"/>
        <w:keepLines w:val="0"/>
        <w:pageBreakBefore w:val="0"/>
        <w:widowControl w:val="0"/>
        <w:kinsoku/>
        <w:overflowPunct/>
        <w:topLinePunct w:val="0"/>
        <w:autoSpaceDE/>
        <w:autoSpaceDN/>
        <w:bidi w:val="0"/>
        <w:adjustRightInd/>
        <w:snapToGrid w:val="0"/>
        <w:spacing w:line="380" w:lineRule="exact"/>
        <w:ind w:firstLine="420" w:firstLineChars="200"/>
        <w:textAlignment w:val="auto"/>
        <w:rPr>
          <w:rFonts w:ascii="宋体" w:hAnsi="宋体"/>
          <w:szCs w:val="21"/>
          <w:highlight w:val="none"/>
        </w:rPr>
      </w:pPr>
      <w:r>
        <w:rPr>
          <w:rFonts w:hint="eastAsia" w:ascii="宋体" w:hAnsi="宋体"/>
          <w:szCs w:val="21"/>
          <w:highlight w:val="none"/>
        </w:rPr>
        <w:t>1、除《中华人民共和国政府采购法》第五十条规定的情形外，本合同一经签订，甲乙双方不得擅自变更、中止或终止。</w:t>
      </w:r>
    </w:p>
    <w:p w14:paraId="025F0988">
      <w:pPr>
        <w:keepNext w:val="0"/>
        <w:keepLines w:val="0"/>
        <w:pageBreakBefore w:val="0"/>
        <w:widowControl w:val="0"/>
        <w:kinsoku/>
        <w:overflowPunct/>
        <w:topLinePunct w:val="0"/>
        <w:autoSpaceDE/>
        <w:autoSpaceDN/>
        <w:bidi w:val="0"/>
        <w:adjustRightInd/>
        <w:snapToGrid w:val="0"/>
        <w:spacing w:before="120" w:after="120" w:line="380" w:lineRule="exact"/>
        <w:ind w:firstLine="411" w:firstLineChars="196"/>
        <w:textAlignment w:val="auto"/>
        <w:rPr>
          <w:rFonts w:ascii="宋体" w:hAnsi="Courier New" w:cs="Courier New"/>
          <w:b/>
          <w:szCs w:val="21"/>
          <w:highlight w:val="none"/>
        </w:rPr>
      </w:pPr>
      <w:r>
        <w:rPr>
          <w:rFonts w:hint="eastAsia" w:ascii="宋体" w:hAnsi="Courier New" w:cs="Courier New"/>
          <w:szCs w:val="21"/>
          <w:highlight w:val="none"/>
        </w:rPr>
        <w:t>2、乙方不得擅自转让其应履行的合同义务。</w:t>
      </w:r>
    </w:p>
    <w:p w14:paraId="0B689BAD">
      <w:pPr>
        <w:keepNext w:val="0"/>
        <w:keepLines w:val="0"/>
        <w:pageBreakBefore w:val="0"/>
        <w:widowControl w:val="0"/>
        <w:kinsoku/>
        <w:overflowPunct/>
        <w:topLinePunct w:val="0"/>
        <w:autoSpaceDE/>
        <w:autoSpaceDN/>
        <w:bidi w:val="0"/>
        <w:adjustRightInd/>
        <w:snapToGrid w:val="0"/>
        <w:spacing w:line="380" w:lineRule="exact"/>
        <w:ind w:firstLine="422" w:firstLineChars="200"/>
        <w:textAlignment w:val="auto"/>
        <w:outlineLvl w:val="0"/>
        <w:rPr>
          <w:rFonts w:ascii="宋体" w:hAnsi="宋体"/>
          <w:b/>
          <w:szCs w:val="21"/>
          <w:highlight w:val="none"/>
        </w:rPr>
      </w:pPr>
      <w:r>
        <w:rPr>
          <w:rFonts w:hint="eastAsia" w:ascii="宋体" w:hAnsi="宋体"/>
          <w:b/>
          <w:szCs w:val="21"/>
          <w:highlight w:val="none"/>
        </w:rPr>
        <w:t>第十</w:t>
      </w:r>
      <w:r>
        <w:rPr>
          <w:rFonts w:hint="eastAsia" w:ascii="宋体" w:hAnsi="宋体"/>
          <w:b/>
          <w:szCs w:val="21"/>
          <w:highlight w:val="none"/>
          <w:lang w:val="en-US" w:eastAsia="zh-CN"/>
        </w:rPr>
        <w:t>五</w:t>
      </w:r>
      <w:r>
        <w:rPr>
          <w:rFonts w:hint="eastAsia" w:ascii="宋体" w:hAnsi="宋体"/>
          <w:b/>
          <w:szCs w:val="21"/>
          <w:highlight w:val="none"/>
        </w:rPr>
        <w:t>条　签订本合同依据</w:t>
      </w:r>
    </w:p>
    <w:p w14:paraId="1A4C4451">
      <w:pPr>
        <w:keepNext w:val="0"/>
        <w:keepLines w:val="0"/>
        <w:pageBreakBefore w:val="0"/>
        <w:widowControl w:val="0"/>
        <w:kinsoku/>
        <w:overflowPunct/>
        <w:topLinePunct w:val="0"/>
        <w:autoSpaceDE/>
        <w:autoSpaceDN/>
        <w:bidi w:val="0"/>
        <w:adjustRightInd/>
        <w:snapToGrid w:val="0"/>
        <w:spacing w:line="380" w:lineRule="exact"/>
        <w:ind w:firstLine="420" w:firstLineChars="200"/>
        <w:textAlignment w:val="auto"/>
        <w:rPr>
          <w:rFonts w:ascii="宋体" w:hAnsi="宋体"/>
          <w:szCs w:val="21"/>
          <w:highlight w:val="none"/>
        </w:rPr>
      </w:pPr>
      <w:r>
        <w:rPr>
          <w:rFonts w:hint="eastAsia" w:ascii="宋体" w:hAnsi="宋体"/>
          <w:szCs w:val="21"/>
          <w:highlight w:val="none"/>
        </w:rPr>
        <w:t>1、采购文件；</w:t>
      </w:r>
    </w:p>
    <w:p w14:paraId="676272DF">
      <w:pPr>
        <w:keepNext w:val="0"/>
        <w:keepLines w:val="0"/>
        <w:pageBreakBefore w:val="0"/>
        <w:widowControl w:val="0"/>
        <w:kinsoku/>
        <w:overflowPunct/>
        <w:topLinePunct w:val="0"/>
        <w:autoSpaceDE/>
        <w:autoSpaceDN/>
        <w:bidi w:val="0"/>
        <w:adjustRightInd/>
        <w:snapToGrid w:val="0"/>
        <w:spacing w:line="380" w:lineRule="exact"/>
        <w:ind w:firstLine="420" w:firstLineChars="200"/>
        <w:textAlignment w:val="auto"/>
        <w:rPr>
          <w:rFonts w:ascii="宋体" w:hAnsi="宋体"/>
          <w:szCs w:val="21"/>
          <w:highlight w:val="none"/>
        </w:rPr>
      </w:pPr>
      <w:r>
        <w:rPr>
          <w:rFonts w:hint="eastAsia" w:ascii="宋体" w:hAnsi="宋体"/>
          <w:szCs w:val="21"/>
          <w:highlight w:val="none"/>
        </w:rPr>
        <w:t>2、乙方提供的响应文件；</w:t>
      </w:r>
    </w:p>
    <w:p w14:paraId="17F9553A">
      <w:pPr>
        <w:keepNext w:val="0"/>
        <w:keepLines w:val="0"/>
        <w:pageBreakBefore w:val="0"/>
        <w:widowControl w:val="0"/>
        <w:kinsoku/>
        <w:overflowPunct/>
        <w:topLinePunct w:val="0"/>
        <w:autoSpaceDE/>
        <w:autoSpaceDN/>
        <w:bidi w:val="0"/>
        <w:adjustRightInd/>
        <w:snapToGrid w:val="0"/>
        <w:spacing w:line="380" w:lineRule="exact"/>
        <w:ind w:firstLine="420" w:firstLineChars="200"/>
        <w:textAlignment w:val="auto"/>
        <w:rPr>
          <w:rFonts w:hint="eastAsia" w:ascii="宋体" w:hAnsi="宋体"/>
          <w:szCs w:val="21"/>
          <w:highlight w:val="none"/>
        </w:rPr>
      </w:pPr>
      <w:r>
        <w:rPr>
          <w:rFonts w:hint="eastAsia" w:ascii="宋体" w:hAnsi="宋体"/>
          <w:szCs w:val="21"/>
          <w:highlight w:val="none"/>
        </w:rPr>
        <w:t>3、成交通知书。</w:t>
      </w:r>
    </w:p>
    <w:p w14:paraId="4E9AAE8F">
      <w:pPr>
        <w:keepNext w:val="0"/>
        <w:keepLines w:val="0"/>
        <w:pageBreakBefore w:val="0"/>
        <w:widowControl w:val="0"/>
        <w:kinsoku/>
        <w:overflowPunct/>
        <w:topLinePunct w:val="0"/>
        <w:autoSpaceDE/>
        <w:autoSpaceDN/>
        <w:bidi w:val="0"/>
        <w:adjustRightInd/>
        <w:snapToGrid w:val="0"/>
        <w:spacing w:line="380" w:lineRule="exact"/>
        <w:ind w:firstLine="420" w:firstLineChars="200"/>
        <w:textAlignment w:val="auto"/>
        <w:rPr>
          <w:rFonts w:hint="eastAsia" w:ascii="宋体" w:hAnsi="宋体"/>
          <w:szCs w:val="21"/>
          <w:highlight w:val="none"/>
        </w:rPr>
      </w:pPr>
      <w:r>
        <w:rPr>
          <w:rFonts w:hint="eastAsia" w:ascii="宋体" w:hAnsi="宋体"/>
          <w:szCs w:val="21"/>
          <w:highlight w:val="none"/>
        </w:rPr>
        <w:t>上述合同文件互相补充和解释。如果合同文件之间存在矛盾或者不一致之处，以上述文件的排列顺序在先者为准。</w:t>
      </w:r>
    </w:p>
    <w:p w14:paraId="45E0C48F">
      <w:pPr>
        <w:keepNext w:val="0"/>
        <w:keepLines w:val="0"/>
        <w:pageBreakBefore w:val="0"/>
        <w:widowControl w:val="0"/>
        <w:kinsoku/>
        <w:overflowPunct/>
        <w:topLinePunct w:val="0"/>
        <w:autoSpaceDE/>
        <w:autoSpaceDN/>
        <w:bidi w:val="0"/>
        <w:adjustRightInd/>
        <w:snapToGrid w:val="0"/>
        <w:spacing w:line="380" w:lineRule="exact"/>
        <w:ind w:firstLine="422" w:firstLineChars="200"/>
        <w:textAlignment w:val="auto"/>
        <w:outlineLvl w:val="0"/>
        <w:rPr>
          <w:rFonts w:hint="eastAsia" w:ascii="宋体" w:hAnsi="宋体" w:eastAsia="宋体" w:cs="Times New Roman"/>
          <w:b/>
          <w:szCs w:val="21"/>
          <w:highlight w:val="none"/>
        </w:rPr>
      </w:pPr>
      <w:r>
        <w:rPr>
          <w:rFonts w:hint="eastAsia" w:ascii="宋体" w:hAnsi="宋体" w:eastAsia="宋体" w:cs="Times New Roman"/>
          <w:b/>
          <w:szCs w:val="21"/>
          <w:highlight w:val="none"/>
        </w:rPr>
        <w:t>第十六条　通知与送达</w:t>
      </w:r>
    </w:p>
    <w:p w14:paraId="4B6E5E62">
      <w:pPr>
        <w:keepNext w:val="0"/>
        <w:keepLines w:val="0"/>
        <w:pageBreakBefore w:val="0"/>
        <w:widowControl w:val="0"/>
        <w:kinsoku/>
        <w:overflowPunct/>
        <w:topLinePunct w:val="0"/>
        <w:autoSpaceDE/>
        <w:autoSpaceDN/>
        <w:bidi w:val="0"/>
        <w:adjustRightInd/>
        <w:snapToGrid w:val="0"/>
        <w:spacing w:line="380" w:lineRule="exact"/>
        <w:ind w:firstLine="420" w:firstLineChars="200"/>
        <w:textAlignment w:val="auto"/>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rPr>
        <w:t>甲乙双方因履行本合同或解决本合同争议而相互发出或提供的所有通知、文件、资料、相关法律文书等，均以本合同所列明的地址送达。若一方变更本合同约定的联系地址、收件人的，应提前5日书面通知对方，否则对方按原联系地址、收件人发送的通知仍视为有效送达，由此产生的责任由变更方自行承担。上述通知、回复、法律文书及其他各类文件，如由专人送达的，交付当日视为已送达；以特快专递方式送达的，信件投寄之日起的第三日视为已送达。本合同各方一致同意，如因本合同争议进入包括一审、二审、再审、执行在内的民事诉讼程序，相关法律文书均按照本合同所载明的收件人及通讯地址进行送达。</w:t>
      </w:r>
    </w:p>
    <w:p w14:paraId="4C50226D">
      <w:pPr>
        <w:keepNext w:val="0"/>
        <w:keepLines w:val="0"/>
        <w:pageBreakBefore w:val="0"/>
        <w:widowControl w:val="0"/>
        <w:kinsoku/>
        <w:overflowPunct/>
        <w:topLinePunct w:val="0"/>
        <w:autoSpaceDE/>
        <w:autoSpaceDN/>
        <w:bidi w:val="0"/>
        <w:adjustRightInd/>
        <w:snapToGrid w:val="0"/>
        <w:spacing w:line="380" w:lineRule="exact"/>
        <w:ind w:firstLine="422" w:firstLineChars="200"/>
        <w:textAlignment w:val="auto"/>
        <w:rPr>
          <w:rFonts w:hint="eastAsia" w:ascii="宋体" w:hAnsi="宋体" w:eastAsia="宋体"/>
          <w:szCs w:val="21"/>
          <w:highlight w:val="none"/>
          <w:lang w:val="en-US" w:eastAsia="zh-CN"/>
        </w:rPr>
      </w:pPr>
      <w:r>
        <w:rPr>
          <w:rFonts w:hint="eastAsia" w:ascii="宋体" w:hAnsi="宋体"/>
          <w:b/>
          <w:szCs w:val="21"/>
          <w:highlight w:val="none"/>
        </w:rPr>
        <w:t>第十</w:t>
      </w:r>
      <w:r>
        <w:rPr>
          <w:rFonts w:hint="eastAsia" w:ascii="宋体" w:hAnsi="宋体"/>
          <w:b/>
          <w:szCs w:val="21"/>
          <w:highlight w:val="none"/>
          <w:lang w:val="en-US" w:eastAsia="zh-CN"/>
        </w:rPr>
        <w:t>七</w:t>
      </w:r>
      <w:r>
        <w:rPr>
          <w:rFonts w:hint="eastAsia" w:ascii="宋体" w:hAnsi="宋体"/>
          <w:b/>
          <w:szCs w:val="21"/>
          <w:highlight w:val="none"/>
        </w:rPr>
        <w:t>条　</w:t>
      </w:r>
      <w:r>
        <w:rPr>
          <w:rFonts w:hint="eastAsia" w:ascii="宋体" w:hAnsi="宋体"/>
          <w:szCs w:val="21"/>
          <w:highlight w:val="none"/>
        </w:rPr>
        <w:t>本合同一式五份，具有同等法律效力，甲乙双方各两份，</w:t>
      </w:r>
      <w:r>
        <w:rPr>
          <w:rFonts w:hint="eastAsia" w:ascii="宋体" w:hAnsi="宋体"/>
          <w:spacing w:val="4"/>
          <w:szCs w:val="21"/>
          <w:highlight w:val="none"/>
        </w:rPr>
        <w:t>采购代理机构</w:t>
      </w:r>
      <w:r>
        <w:rPr>
          <w:rFonts w:hint="eastAsia" w:ascii="宋体" w:hAnsi="宋体"/>
          <w:szCs w:val="21"/>
          <w:highlight w:val="none"/>
        </w:rPr>
        <w:t>一份</w:t>
      </w:r>
      <w:r>
        <w:rPr>
          <w:rFonts w:hint="eastAsia" w:ascii="宋体" w:hAnsi="宋体"/>
          <w:kern w:val="0"/>
          <w:szCs w:val="21"/>
          <w:highlight w:val="none"/>
          <w:lang w:eastAsia="zh-CN"/>
        </w:rPr>
        <w:t>。</w:t>
      </w:r>
    </w:p>
    <w:p w14:paraId="694A98E9">
      <w:pPr>
        <w:snapToGrid w:val="0"/>
        <w:spacing w:line="360" w:lineRule="exact"/>
        <w:ind w:firstLine="420" w:firstLineChars="200"/>
        <w:rPr>
          <w:rFonts w:hint="eastAsia" w:ascii="宋体" w:hAnsi="宋体"/>
          <w:szCs w:val="21"/>
          <w:highlight w:val="none"/>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8"/>
        <w:gridCol w:w="4826"/>
      </w:tblGrid>
      <w:tr w14:paraId="69E65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2" w:hRule="atLeast"/>
          <w:jc w:val="center"/>
        </w:trPr>
        <w:tc>
          <w:tcPr>
            <w:tcW w:w="4568" w:type="dxa"/>
          </w:tcPr>
          <w:p w14:paraId="57498FA6">
            <w:pPr>
              <w:keepNext w:val="0"/>
              <w:keepLines w:val="0"/>
              <w:suppressLineNumbers w:val="0"/>
              <w:snapToGrid w:val="0"/>
              <w:spacing w:before="0" w:beforeAutospacing="0" w:after="0" w:afterAutospacing="0" w:line="360" w:lineRule="exact"/>
              <w:ind w:left="0" w:right="0"/>
              <w:rPr>
                <w:rFonts w:hint="default" w:ascii="宋体" w:hAnsi="宋体"/>
                <w:szCs w:val="21"/>
                <w:highlight w:val="none"/>
              </w:rPr>
            </w:pPr>
            <w:r>
              <w:rPr>
                <w:rFonts w:hint="eastAsia" w:ascii="宋体" w:hAnsi="宋体"/>
                <w:szCs w:val="21"/>
                <w:highlight w:val="none"/>
              </w:rPr>
              <w:t xml:space="preserve">甲方（章）           </w:t>
            </w:r>
          </w:p>
          <w:p w14:paraId="0FCFA292">
            <w:pPr>
              <w:keepNext w:val="0"/>
              <w:keepLines w:val="0"/>
              <w:suppressLineNumbers w:val="0"/>
              <w:snapToGrid w:val="0"/>
              <w:spacing w:before="0" w:beforeAutospacing="0" w:after="0" w:afterAutospacing="0" w:line="360" w:lineRule="exact"/>
              <w:ind w:left="0" w:right="0"/>
              <w:rPr>
                <w:rFonts w:hint="default" w:ascii="宋体" w:hAnsi="宋体"/>
                <w:szCs w:val="21"/>
                <w:highlight w:val="none"/>
              </w:rPr>
            </w:pPr>
          </w:p>
          <w:p w14:paraId="3D5562E3">
            <w:pPr>
              <w:keepNext w:val="0"/>
              <w:keepLines w:val="0"/>
              <w:suppressLineNumbers w:val="0"/>
              <w:snapToGrid w:val="0"/>
              <w:spacing w:before="0" w:beforeAutospacing="0" w:after="0" w:afterAutospacing="0" w:line="360" w:lineRule="exact"/>
              <w:ind w:left="0" w:right="0" w:firstLine="945" w:firstLineChars="450"/>
              <w:rPr>
                <w:rFonts w:hint="default" w:ascii="宋体" w:hAnsi="宋体"/>
                <w:szCs w:val="21"/>
                <w:highlight w:val="none"/>
              </w:rPr>
            </w:pPr>
            <w:r>
              <w:rPr>
                <w:rFonts w:hint="eastAsia" w:ascii="宋体" w:hAnsi="宋体"/>
                <w:szCs w:val="21"/>
                <w:highlight w:val="none"/>
              </w:rPr>
              <w:t xml:space="preserve">                 年   月   日</w:t>
            </w:r>
          </w:p>
        </w:tc>
        <w:tc>
          <w:tcPr>
            <w:tcW w:w="4826" w:type="dxa"/>
          </w:tcPr>
          <w:p w14:paraId="57F10D6B">
            <w:pPr>
              <w:keepNext w:val="0"/>
              <w:keepLines w:val="0"/>
              <w:suppressLineNumbers w:val="0"/>
              <w:snapToGrid w:val="0"/>
              <w:spacing w:before="0" w:beforeAutospacing="0" w:after="0" w:afterAutospacing="0" w:line="360" w:lineRule="exact"/>
              <w:ind w:left="0" w:right="0"/>
              <w:rPr>
                <w:rFonts w:hint="default" w:ascii="宋体" w:hAnsi="宋体"/>
                <w:szCs w:val="21"/>
                <w:highlight w:val="none"/>
              </w:rPr>
            </w:pPr>
            <w:r>
              <w:rPr>
                <w:rFonts w:hint="eastAsia" w:ascii="宋体" w:hAnsi="宋体"/>
                <w:szCs w:val="21"/>
                <w:highlight w:val="none"/>
              </w:rPr>
              <w:t xml:space="preserve">乙方（章）              </w:t>
            </w:r>
          </w:p>
          <w:p w14:paraId="2DB273E8">
            <w:pPr>
              <w:keepNext w:val="0"/>
              <w:keepLines w:val="0"/>
              <w:suppressLineNumbers w:val="0"/>
              <w:snapToGrid w:val="0"/>
              <w:spacing w:before="0" w:beforeAutospacing="0" w:after="0" w:afterAutospacing="0" w:line="360" w:lineRule="exact"/>
              <w:ind w:left="0" w:right="0"/>
              <w:rPr>
                <w:rFonts w:hint="default" w:ascii="宋体" w:hAnsi="宋体"/>
                <w:szCs w:val="21"/>
                <w:highlight w:val="none"/>
              </w:rPr>
            </w:pPr>
          </w:p>
          <w:p w14:paraId="5E831340">
            <w:pPr>
              <w:keepNext w:val="0"/>
              <w:keepLines w:val="0"/>
              <w:suppressLineNumbers w:val="0"/>
              <w:snapToGrid w:val="0"/>
              <w:spacing w:before="0" w:beforeAutospacing="0" w:after="0" w:afterAutospacing="0" w:line="360" w:lineRule="exact"/>
              <w:ind w:left="0" w:right="0"/>
              <w:rPr>
                <w:rFonts w:hint="default" w:ascii="宋体" w:hAnsi="宋体"/>
                <w:szCs w:val="21"/>
                <w:highlight w:val="none"/>
              </w:rPr>
            </w:pPr>
            <w:r>
              <w:rPr>
                <w:rFonts w:hint="eastAsia" w:ascii="宋体" w:hAnsi="宋体"/>
                <w:szCs w:val="21"/>
                <w:highlight w:val="none"/>
              </w:rPr>
              <w:t xml:space="preserve">                             年   月   日</w:t>
            </w:r>
          </w:p>
        </w:tc>
      </w:tr>
      <w:tr w14:paraId="364D4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4568" w:type="dxa"/>
          </w:tcPr>
          <w:p w14:paraId="2B3D4036">
            <w:pPr>
              <w:keepNext w:val="0"/>
              <w:keepLines w:val="0"/>
              <w:suppressLineNumbers w:val="0"/>
              <w:snapToGrid w:val="0"/>
              <w:spacing w:before="0" w:beforeAutospacing="0" w:after="0" w:afterAutospacing="0" w:line="360" w:lineRule="exact"/>
              <w:ind w:left="0" w:right="0"/>
              <w:rPr>
                <w:rFonts w:hint="default" w:ascii="宋体" w:hAnsi="宋体"/>
                <w:szCs w:val="21"/>
                <w:highlight w:val="none"/>
              </w:rPr>
            </w:pPr>
            <w:r>
              <w:rPr>
                <w:rFonts w:hint="eastAsia" w:ascii="宋体" w:hAnsi="宋体"/>
                <w:szCs w:val="21"/>
                <w:highlight w:val="none"/>
              </w:rPr>
              <w:t>单位地址：南宁市青秀区长湖路26号</w:t>
            </w:r>
          </w:p>
        </w:tc>
        <w:tc>
          <w:tcPr>
            <w:tcW w:w="4826" w:type="dxa"/>
          </w:tcPr>
          <w:p w14:paraId="38FCF249">
            <w:pPr>
              <w:keepNext w:val="0"/>
              <w:keepLines w:val="0"/>
              <w:suppressLineNumbers w:val="0"/>
              <w:snapToGrid w:val="0"/>
              <w:spacing w:before="0" w:beforeAutospacing="0" w:after="0" w:afterAutospacing="0" w:line="360" w:lineRule="exact"/>
              <w:ind w:left="0" w:right="0"/>
              <w:rPr>
                <w:rFonts w:hint="default" w:ascii="宋体" w:hAnsi="宋体"/>
                <w:szCs w:val="21"/>
                <w:highlight w:val="none"/>
              </w:rPr>
            </w:pPr>
            <w:r>
              <w:rPr>
                <w:rFonts w:hint="eastAsia" w:ascii="宋体" w:hAnsi="宋体"/>
                <w:szCs w:val="21"/>
                <w:highlight w:val="none"/>
              </w:rPr>
              <w:t>单位地址：</w:t>
            </w:r>
          </w:p>
        </w:tc>
      </w:tr>
      <w:tr w14:paraId="44C11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4568" w:type="dxa"/>
          </w:tcPr>
          <w:p w14:paraId="40EB004F">
            <w:pPr>
              <w:keepNext w:val="0"/>
              <w:keepLines w:val="0"/>
              <w:suppressLineNumbers w:val="0"/>
              <w:snapToGrid w:val="0"/>
              <w:spacing w:before="0" w:beforeAutospacing="0" w:after="0" w:afterAutospacing="0" w:line="360" w:lineRule="exact"/>
              <w:ind w:left="0" w:right="0"/>
              <w:rPr>
                <w:rFonts w:hint="default" w:ascii="宋体" w:hAnsi="宋体"/>
                <w:szCs w:val="21"/>
                <w:highlight w:val="none"/>
              </w:rPr>
            </w:pPr>
            <w:r>
              <w:rPr>
                <w:rFonts w:hint="eastAsia" w:ascii="宋体" w:hAnsi="宋体"/>
                <w:szCs w:val="21"/>
                <w:highlight w:val="none"/>
              </w:rPr>
              <w:t>法定代表人(负责人)：</w:t>
            </w:r>
          </w:p>
        </w:tc>
        <w:tc>
          <w:tcPr>
            <w:tcW w:w="4826" w:type="dxa"/>
          </w:tcPr>
          <w:p w14:paraId="312A6C75">
            <w:pPr>
              <w:keepNext w:val="0"/>
              <w:keepLines w:val="0"/>
              <w:suppressLineNumbers w:val="0"/>
              <w:snapToGrid w:val="0"/>
              <w:spacing w:before="0" w:beforeAutospacing="0" w:after="0" w:afterAutospacing="0" w:line="360" w:lineRule="exact"/>
              <w:ind w:left="0" w:right="0"/>
              <w:rPr>
                <w:rFonts w:hint="default" w:ascii="宋体" w:hAnsi="宋体"/>
                <w:szCs w:val="21"/>
                <w:highlight w:val="none"/>
              </w:rPr>
            </w:pPr>
            <w:r>
              <w:rPr>
                <w:rFonts w:hint="eastAsia" w:ascii="宋体" w:hAnsi="宋体"/>
                <w:szCs w:val="21"/>
                <w:highlight w:val="none"/>
              </w:rPr>
              <w:t>法定代表人(负责人)：</w:t>
            </w:r>
          </w:p>
        </w:tc>
      </w:tr>
      <w:tr w14:paraId="13D9E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4568" w:type="dxa"/>
          </w:tcPr>
          <w:p w14:paraId="5A00831C">
            <w:pPr>
              <w:keepNext w:val="0"/>
              <w:keepLines w:val="0"/>
              <w:suppressLineNumbers w:val="0"/>
              <w:snapToGrid w:val="0"/>
              <w:spacing w:before="0" w:beforeAutospacing="0" w:after="0" w:afterAutospacing="0" w:line="360" w:lineRule="exact"/>
              <w:ind w:left="0" w:right="0"/>
              <w:rPr>
                <w:rFonts w:hint="default" w:ascii="宋体" w:hAnsi="宋体"/>
                <w:szCs w:val="21"/>
                <w:highlight w:val="none"/>
              </w:rPr>
            </w:pPr>
            <w:r>
              <w:rPr>
                <w:rFonts w:hint="eastAsia" w:ascii="宋体" w:hAnsi="宋体"/>
                <w:szCs w:val="21"/>
                <w:highlight w:val="none"/>
              </w:rPr>
              <w:t>委托代理人：</w:t>
            </w:r>
          </w:p>
        </w:tc>
        <w:tc>
          <w:tcPr>
            <w:tcW w:w="4826" w:type="dxa"/>
          </w:tcPr>
          <w:p w14:paraId="0CD3EF54">
            <w:pPr>
              <w:keepNext w:val="0"/>
              <w:keepLines w:val="0"/>
              <w:suppressLineNumbers w:val="0"/>
              <w:snapToGrid w:val="0"/>
              <w:spacing w:before="0" w:beforeAutospacing="0" w:after="0" w:afterAutospacing="0" w:line="360" w:lineRule="exact"/>
              <w:ind w:left="0" w:right="0"/>
              <w:rPr>
                <w:rFonts w:hint="default" w:ascii="宋体" w:hAnsi="宋体"/>
                <w:szCs w:val="21"/>
                <w:highlight w:val="none"/>
              </w:rPr>
            </w:pPr>
            <w:r>
              <w:rPr>
                <w:rFonts w:hint="eastAsia" w:ascii="宋体" w:hAnsi="宋体"/>
                <w:szCs w:val="21"/>
                <w:highlight w:val="none"/>
              </w:rPr>
              <w:t>委托代理人：</w:t>
            </w:r>
          </w:p>
        </w:tc>
      </w:tr>
      <w:tr w14:paraId="2ACF6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4568" w:type="dxa"/>
          </w:tcPr>
          <w:p w14:paraId="1E6F2C3F">
            <w:pPr>
              <w:keepNext w:val="0"/>
              <w:keepLines w:val="0"/>
              <w:suppressLineNumbers w:val="0"/>
              <w:snapToGrid w:val="0"/>
              <w:spacing w:before="0" w:beforeAutospacing="0" w:after="0" w:afterAutospacing="0" w:line="360" w:lineRule="exact"/>
              <w:ind w:left="0" w:right="0"/>
              <w:rPr>
                <w:rFonts w:hint="default" w:ascii="宋体" w:hAnsi="宋体" w:eastAsia="宋体"/>
                <w:szCs w:val="21"/>
                <w:highlight w:val="none"/>
                <w:lang w:val="en-US" w:eastAsia="zh-CN"/>
              </w:rPr>
            </w:pPr>
            <w:r>
              <w:rPr>
                <w:rFonts w:hint="eastAsia" w:ascii="宋体" w:hAnsi="宋体"/>
                <w:szCs w:val="21"/>
                <w:highlight w:val="none"/>
              </w:rPr>
              <w:t>电话：</w:t>
            </w:r>
            <w:r>
              <w:rPr>
                <w:rFonts w:hint="eastAsia" w:ascii="宋体" w:hAnsi="宋体"/>
                <w:szCs w:val="21"/>
                <w:highlight w:val="none"/>
                <w:lang w:val="en-US" w:eastAsia="zh-CN"/>
              </w:rPr>
              <w:t>0771-5389161</w:t>
            </w:r>
          </w:p>
        </w:tc>
        <w:tc>
          <w:tcPr>
            <w:tcW w:w="4826" w:type="dxa"/>
          </w:tcPr>
          <w:p w14:paraId="65AA4FA0">
            <w:pPr>
              <w:keepNext w:val="0"/>
              <w:keepLines w:val="0"/>
              <w:suppressLineNumbers w:val="0"/>
              <w:snapToGrid w:val="0"/>
              <w:spacing w:before="0" w:beforeAutospacing="0" w:after="0" w:afterAutospacing="0" w:line="360" w:lineRule="exact"/>
              <w:ind w:left="0" w:right="0"/>
              <w:rPr>
                <w:rFonts w:hint="default" w:ascii="宋体" w:hAnsi="宋体"/>
                <w:szCs w:val="21"/>
                <w:highlight w:val="none"/>
              </w:rPr>
            </w:pPr>
            <w:r>
              <w:rPr>
                <w:rFonts w:hint="eastAsia" w:ascii="宋体" w:hAnsi="宋体"/>
                <w:szCs w:val="21"/>
                <w:highlight w:val="none"/>
              </w:rPr>
              <w:t>电话：</w:t>
            </w:r>
          </w:p>
        </w:tc>
      </w:tr>
      <w:tr w14:paraId="70659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4568" w:type="dxa"/>
          </w:tcPr>
          <w:p w14:paraId="312B8386">
            <w:pPr>
              <w:keepNext w:val="0"/>
              <w:keepLines w:val="0"/>
              <w:suppressLineNumbers w:val="0"/>
              <w:snapToGrid w:val="0"/>
              <w:spacing w:before="0" w:beforeAutospacing="0" w:after="0" w:afterAutospacing="0" w:line="360" w:lineRule="exact"/>
              <w:ind w:left="0" w:right="0"/>
              <w:rPr>
                <w:rFonts w:hint="default" w:ascii="宋体" w:hAnsi="宋体"/>
                <w:szCs w:val="21"/>
                <w:highlight w:val="none"/>
              </w:rPr>
            </w:pPr>
            <w:r>
              <w:rPr>
                <w:rFonts w:hint="eastAsia" w:ascii="宋体" w:hAnsi="宋体"/>
                <w:szCs w:val="21"/>
                <w:highlight w:val="none"/>
              </w:rPr>
              <w:t>电子邮箱：</w:t>
            </w:r>
          </w:p>
        </w:tc>
        <w:tc>
          <w:tcPr>
            <w:tcW w:w="4826" w:type="dxa"/>
          </w:tcPr>
          <w:p w14:paraId="69D6C904">
            <w:pPr>
              <w:keepNext w:val="0"/>
              <w:keepLines w:val="0"/>
              <w:suppressLineNumbers w:val="0"/>
              <w:snapToGrid w:val="0"/>
              <w:spacing w:before="0" w:beforeAutospacing="0" w:after="0" w:afterAutospacing="0" w:line="360" w:lineRule="exact"/>
              <w:ind w:left="0" w:right="0"/>
              <w:rPr>
                <w:rFonts w:hint="default" w:ascii="宋体" w:hAnsi="宋体"/>
                <w:szCs w:val="21"/>
                <w:highlight w:val="none"/>
              </w:rPr>
            </w:pPr>
            <w:r>
              <w:rPr>
                <w:rFonts w:hint="eastAsia" w:ascii="宋体" w:hAnsi="宋体"/>
                <w:szCs w:val="21"/>
                <w:highlight w:val="none"/>
              </w:rPr>
              <w:t>电子邮箱：</w:t>
            </w:r>
          </w:p>
        </w:tc>
      </w:tr>
      <w:tr w14:paraId="0DA2B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4568" w:type="dxa"/>
          </w:tcPr>
          <w:p w14:paraId="769896E7">
            <w:pPr>
              <w:keepNext w:val="0"/>
              <w:keepLines w:val="0"/>
              <w:suppressLineNumbers w:val="0"/>
              <w:snapToGrid w:val="0"/>
              <w:spacing w:before="0" w:beforeAutospacing="0" w:after="0" w:afterAutospacing="0" w:line="360" w:lineRule="exact"/>
              <w:ind w:left="0" w:right="0"/>
              <w:rPr>
                <w:rFonts w:hint="default" w:ascii="宋体" w:hAnsi="宋体"/>
                <w:szCs w:val="21"/>
                <w:highlight w:val="none"/>
              </w:rPr>
            </w:pPr>
            <w:r>
              <w:rPr>
                <w:rFonts w:hint="eastAsia" w:ascii="宋体" w:hAnsi="宋体"/>
                <w:szCs w:val="21"/>
                <w:highlight w:val="none"/>
              </w:rPr>
              <w:t>开户银行：</w:t>
            </w:r>
          </w:p>
        </w:tc>
        <w:tc>
          <w:tcPr>
            <w:tcW w:w="4826" w:type="dxa"/>
          </w:tcPr>
          <w:p w14:paraId="48AF6232">
            <w:pPr>
              <w:keepNext w:val="0"/>
              <w:keepLines w:val="0"/>
              <w:suppressLineNumbers w:val="0"/>
              <w:snapToGrid w:val="0"/>
              <w:spacing w:before="0" w:beforeAutospacing="0" w:after="0" w:afterAutospacing="0" w:line="360" w:lineRule="exact"/>
              <w:ind w:left="0" w:right="0"/>
              <w:rPr>
                <w:rFonts w:hint="default" w:ascii="宋体" w:hAnsi="宋体"/>
                <w:szCs w:val="21"/>
                <w:highlight w:val="none"/>
              </w:rPr>
            </w:pPr>
            <w:r>
              <w:rPr>
                <w:rFonts w:hint="eastAsia" w:ascii="宋体" w:hAnsi="宋体"/>
                <w:szCs w:val="21"/>
                <w:highlight w:val="none"/>
              </w:rPr>
              <w:t>开户银行：</w:t>
            </w:r>
          </w:p>
        </w:tc>
      </w:tr>
      <w:tr w14:paraId="51FE9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4568" w:type="dxa"/>
          </w:tcPr>
          <w:p w14:paraId="3AC73BC3">
            <w:pPr>
              <w:keepNext w:val="0"/>
              <w:keepLines w:val="0"/>
              <w:suppressLineNumbers w:val="0"/>
              <w:snapToGrid w:val="0"/>
              <w:spacing w:before="0" w:beforeAutospacing="0" w:after="0" w:afterAutospacing="0" w:line="360" w:lineRule="exact"/>
              <w:ind w:left="0" w:right="0"/>
              <w:rPr>
                <w:rFonts w:hint="default" w:ascii="宋体" w:hAnsi="宋体"/>
                <w:szCs w:val="21"/>
                <w:highlight w:val="none"/>
              </w:rPr>
            </w:pPr>
            <w:r>
              <w:rPr>
                <w:rFonts w:hint="eastAsia" w:ascii="宋体" w:hAnsi="宋体"/>
                <w:szCs w:val="21"/>
                <w:highlight w:val="none"/>
              </w:rPr>
              <w:t>账号：</w:t>
            </w:r>
          </w:p>
        </w:tc>
        <w:tc>
          <w:tcPr>
            <w:tcW w:w="4826" w:type="dxa"/>
          </w:tcPr>
          <w:p w14:paraId="4B3EBBEF">
            <w:pPr>
              <w:keepNext w:val="0"/>
              <w:keepLines w:val="0"/>
              <w:suppressLineNumbers w:val="0"/>
              <w:snapToGrid w:val="0"/>
              <w:spacing w:before="0" w:beforeAutospacing="0" w:after="0" w:afterAutospacing="0" w:line="360" w:lineRule="exact"/>
              <w:ind w:left="0" w:right="0"/>
              <w:rPr>
                <w:rFonts w:hint="default" w:ascii="宋体" w:hAnsi="宋体"/>
                <w:szCs w:val="21"/>
                <w:highlight w:val="none"/>
              </w:rPr>
            </w:pPr>
            <w:r>
              <w:rPr>
                <w:rFonts w:hint="eastAsia" w:ascii="宋体" w:hAnsi="宋体"/>
                <w:szCs w:val="21"/>
                <w:highlight w:val="none"/>
              </w:rPr>
              <w:t>账号：</w:t>
            </w:r>
          </w:p>
        </w:tc>
      </w:tr>
      <w:tr w14:paraId="3B3C9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4568" w:type="dxa"/>
          </w:tcPr>
          <w:p w14:paraId="238C8DF2">
            <w:pPr>
              <w:keepNext w:val="0"/>
              <w:keepLines w:val="0"/>
              <w:suppressLineNumbers w:val="0"/>
              <w:snapToGrid w:val="0"/>
              <w:spacing w:before="0" w:beforeAutospacing="0" w:after="0" w:afterAutospacing="0" w:line="400" w:lineRule="exact"/>
              <w:ind w:left="0" w:right="0"/>
              <w:rPr>
                <w:rFonts w:hint="default" w:ascii="宋体" w:hAnsi="宋体"/>
                <w:szCs w:val="21"/>
                <w:highlight w:val="none"/>
              </w:rPr>
            </w:pPr>
            <w:r>
              <w:rPr>
                <w:rFonts w:hint="eastAsia" w:ascii="宋体" w:hAnsi="宋体"/>
                <w:highlight w:val="none"/>
              </w:rPr>
              <w:t>纳税人识别号或统一社会信用代码：11450100007575763A</w:t>
            </w:r>
          </w:p>
        </w:tc>
        <w:tc>
          <w:tcPr>
            <w:tcW w:w="4826" w:type="dxa"/>
          </w:tcPr>
          <w:p w14:paraId="59511E19">
            <w:pPr>
              <w:keepNext w:val="0"/>
              <w:keepLines w:val="0"/>
              <w:suppressLineNumbers w:val="0"/>
              <w:snapToGrid w:val="0"/>
              <w:spacing w:before="0" w:beforeAutospacing="0" w:after="0" w:afterAutospacing="0" w:line="400" w:lineRule="exact"/>
              <w:ind w:left="0" w:right="0"/>
              <w:rPr>
                <w:rFonts w:hint="default" w:ascii="宋体" w:hAnsi="宋体"/>
                <w:szCs w:val="21"/>
                <w:highlight w:val="none"/>
              </w:rPr>
            </w:pPr>
            <w:r>
              <w:rPr>
                <w:rFonts w:hint="eastAsia" w:ascii="宋体" w:hAnsi="宋体"/>
                <w:highlight w:val="none"/>
              </w:rPr>
              <w:t>纳税人识别号或统一社会信用代码：</w:t>
            </w:r>
          </w:p>
        </w:tc>
      </w:tr>
      <w:tr w14:paraId="3BD46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4568" w:type="dxa"/>
          </w:tcPr>
          <w:p w14:paraId="75ACF96D">
            <w:pPr>
              <w:keepNext w:val="0"/>
              <w:keepLines w:val="0"/>
              <w:suppressLineNumbers w:val="0"/>
              <w:snapToGrid w:val="0"/>
              <w:spacing w:before="0" w:beforeAutospacing="0" w:after="0" w:afterAutospacing="0" w:line="360" w:lineRule="exact"/>
              <w:ind w:left="0" w:right="0"/>
              <w:rPr>
                <w:rFonts w:hint="default" w:ascii="宋体" w:hAnsi="宋体" w:eastAsia="宋体"/>
                <w:szCs w:val="21"/>
                <w:highlight w:val="none"/>
                <w:lang w:val="en-US" w:eastAsia="zh-CN"/>
              </w:rPr>
            </w:pPr>
            <w:r>
              <w:rPr>
                <w:rFonts w:hint="eastAsia" w:ascii="宋体" w:hAnsi="宋体"/>
                <w:szCs w:val="21"/>
                <w:highlight w:val="none"/>
              </w:rPr>
              <w:t>邮政编码：</w:t>
            </w:r>
            <w:r>
              <w:rPr>
                <w:rFonts w:hint="eastAsia" w:ascii="宋体" w:hAnsi="宋体"/>
                <w:szCs w:val="21"/>
                <w:highlight w:val="none"/>
                <w:lang w:val="en-US" w:eastAsia="zh-CN"/>
              </w:rPr>
              <w:t>530028</w:t>
            </w:r>
          </w:p>
        </w:tc>
        <w:tc>
          <w:tcPr>
            <w:tcW w:w="4826" w:type="dxa"/>
          </w:tcPr>
          <w:p w14:paraId="6D4FA82F">
            <w:pPr>
              <w:keepNext w:val="0"/>
              <w:keepLines w:val="0"/>
              <w:suppressLineNumbers w:val="0"/>
              <w:snapToGrid w:val="0"/>
              <w:spacing w:before="0" w:beforeAutospacing="0" w:after="0" w:afterAutospacing="0" w:line="360" w:lineRule="exact"/>
              <w:ind w:left="0" w:right="0"/>
              <w:rPr>
                <w:rFonts w:hint="default" w:ascii="宋体" w:hAnsi="宋体"/>
                <w:szCs w:val="21"/>
                <w:highlight w:val="none"/>
              </w:rPr>
            </w:pPr>
            <w:r>
              <w:rPr>
                <w:rFonts w:hint="eastAsia" w:ascii="宋体" w:hAnsi="宋体"/>
                <w:szCs w:val="21"/>
                <w:highlight w:val="none"/>
              </w:rPr>
              <w:t>邮政编码：</w:t>
            </w:r>
          </w:p>
        </w:tc>
      </w:tr>
    </w:tbl>
    <w:p w14:paraId="224FB86A">
      <w:pPr>
        <w:spacing w:line="480" w:lineRule="auto"/>
        <w:jc w:val="center"/>
        <w:rPr>
          <w:rFonts w:ascii="宋体" w:hAnsi="宋体" w:cs="宋体"/>
          <w:kern w:val="1"/>
          <w:szCs w:val="21"/>
          <w:highlight w:val="none"/>
        </w:rPr>
      </w:pPr>
      <w:r>
        <w:rPr>
          <w:rFonts w:ascii="宋体" w:hAnsi="宋体" w:cs="宋体"/>
          <w:kern w:val="1"/>
          <w:szCs w:val="21"/>
          <w:highlight w:val="none"/>
        </w:rPr>
        <w:t xml:space="preserve"> </w:t>
      </w:r>
    </w:p>
    <w:p w14:paraId="11DB0A8D">
      <w:pPr>
        <w:spacing w:line="480" w:lineRule="auto"/>
        <w:jc w:val="center"/>
        <w:rPr>
          <w:rFonts w:ascii="Calibri" w:hAnsi="Calibri"/>
          <w:b/>
          <w:kern w:val="1"/>
          <w:sz w:val="28"/>
          <w:szCs w:val="28"/>
          <w:highlight w:val="none"/>
        </w:rPr>
      </w:pPr>
      <w:r>
        <w:rPr>
          <w:rFonts w:ascii="Calibri" w:hAnsi="宋体"/>
          <w:b/>
          <w:highlight w:val="none"/>
        </w:rPr>
        <w:br w:type="page"/>
      </w:r>
      <w:r>
        <w:rPr>
          <w:rFonts w:ascii="Calibri" w:hAnsi="Calibri"/>
          <w:b/>
          <w:kern w:val="1"/>
          <w:sz w:val="28"/>
          <w:szCs w:val="28"/>
          <w:highlight w:val="none"/>
        </w:rPr>
        <w:t>合 同 附 件</w:t>
      </w:r>
    </w:p>
    <w:tbl>
      <w:tblPr>
        <w:tblStyle w:val="20"/>
        <w:tblW w:w="0" w:type="auto"/>
        <w:jc w:val="center"/>
        <w:tblLayout w:type="fixed"/>
        <w:tblCellMar>
          <w:top w:w="0" w:type="dxa"/>
          <w:left w:w="108" w:type="dxa"/>
          <w:bottom w:w="0" w:type="dxa"/>
          <w:right w:w="108" w:type="dxa"/>
        </w:tblCellMar>
      </w:tblPr>
      <w:tblGrid>
        <w:gridCol w:w="4742"/>
        <w:gridCol w:w="4634"/>
      </w:tblGrid>
      <w:tr w14:paraId="7A2FA96C">
        <w:tblPrEx>
          <w:tblCellMar>
            <w:top w:w="0" w:type="dxa"/>
            <w:left w:w="108" w:type="dxa"/>
            <w:bottom w:w="0" w:type="dxa"/>
            <w:right w:w="108" w:type="dxa"/>
          </w:tblCellMar>
        </w:tblPrEx>
        <w:trPr>
          <w:trHeight w:val="1021" w:hRule="atLeast"/>
          <w:jc w:val="center"/>
        </w:trPr>
        <w:tc>
          <w:tcPr>
            <w:tcW w:w="9376" w:type="dxa"/>
            <w:gridSpan w:val="2"/>
            <w:tcBorders>
              <w:top w:val="single" w:color="000000" w:sz="4" w:space="0"/>
              <w:left w:val="single" w:color="000000" w:sz="4" w:space="0"/>
              <w:bottom w:val="single" w:color="000000" w:sz="4" w:space="0"/>
              <w:right w:val="single" w:color="000000" w:sz="4" w:space="0"/>
            </w:tcBorders>
          </w:tcPr>
          <w:p w14:paraId="3C64D2B3">
            <w:pPr>
              <w:keepNext w:val="0"/>
              <w:keepLines w:val="0"/>
              <w:suppressLineNumbers w:val="0"/>
              <w:spacing w:before="0" w:beforeAutospacing="0" w:after="0" w:afterAutospacing="0" w:line="360" w:lineRule="exact"/>
              <w:ind w:left="0" w:right="0"/>
              <w:rPr>
                <w:rFonts w:hint="default" w:ascii="Calibri" w:hAnsi="Calibri" w:cs="宋体"/>
                <w:kern w:val="1"/>
                <w:szCs w:val="21"/>
                <w:highlight w:val="none"/>
              </w:rPr>
            </w:pPr>
            <w:r>
              <w:rPr>
                <w:rFonts w:hint="default" w:ascii="Calibri" w:hAnsi="Calibri" w:cs="宋体"/>
                <w:kern w:val="1"/>
                <w:szCs w:val="21"/>
                <w:highlight w:val="none"/>
              </w:rPr>
              <w:t>1、供应商承诺具体事项：详见响应文件。</w:t>
            </w:r>
          </w:p>
        </w:tc>
      </w:tr>
      <w:tr w14:paraId="191EDAEC">
        <w:tblPrEx>
          <w:tblCellMar>
            <w:top w:w="0" w:type="dxa"/>
            <w:left w:w="108" w:type="dxa"/>
            <w:bottom w:w="0" w:type="dxa"/>
            <w:right w:w="108" w:type="dxa"/>
          </w:tblCellMar>
        </w:tblPrEx>
        <w:trPr>
          <w:trHeight w:val="969" w:hRule="atLeast"/>
          <w:jc w:val="center"/>
        </w:trPr>
        <w:tc>
          <w:tcPr>
            <w:tcW w:w="9376" w:type="dxa"/>
            <w:gridSpan w:val="2"/>
            <w:tcBorders>
              <w:top w:val="single" w:color="000000" w:sz="4" w:space="0"/>
              <w:left w:val="single" w:color="000000" w:sz="4" w:space="0"/>
              <w:bottom w:val="single" w:color="000000" w:sz="4" w:space="0"/>
              <w:right w:val="single" w:color="000000" w:sz="4" w:space="0"/>
            </w:tcBorders>
          </w:tcPr>
          <w:p w14:paraId="2EF140B8">
            <w:pPr>
              <w:keepNext w:val="0"/>
              <w:keepLines w:val="0"/>
              <w:suppressLineNumbers w:val="0"/>
              <w:spacing w:before="0" w:beforeAutospacing="0" w:after="0" w:afterAutospacing="0" w:line="360" w:lineRule="exact"/>
              <w:ind w:left="0" w:right="0"/>
              <w:rPr>
                <w:rFonts w:hint="default" w:ascii="Calibri" w:hAnsi="Calibri" w:cs="宋体"/>
                <w:kern w:val="1"/>
                <w:szCs w:val="21"/>
                <w:highlight w:val="none"/>
              </w:rPr>
            </w:pPr>
            <w:r>
              <w:rPr>
                <w:rFonts w:hint="default" w:ascii="Calibri" w:hAnsi="Calibri" w:cs="宋体"/>
                <w:kern w:val="1"/>
                <w:szCs w:val="21"/>
                <w:highlight w:val="none"/>
              </w:rPr>
              <w:t>2、售后服务具体事项：详见响应文件。</w:t>
            </w:r>
          </w:p>
        </w:tc>
      </w:tr>
      <w:tr w14:paraId="743F9493">
        <w:tblPrEx>
          <w:tblCellMar>
            <w:top w:w="0" w:type="dxa"/>
            <w:left w:w="108" w:type="dxa"/>
            <w:bottom w:w="0" w:type="dxa"/>
            <w:right w:w="108" w:type="dxa"/>
          </w:tblCellMar>
        </w:tblPrEx>
        <w:trPr>
          <w:trHeight w:val="1024" w:hRule="atLeast"/>
          <w:jc w:val="center"/>
        </w:trPr>
        <w:tc>
          <w:tcPr>
            <w:tcW w:w="9376" w:type="dxa"/>
            <w:gridSpan w:val="2"/>
            <w:tcBorders>
              <w:top w:val="single" w:color="000000" w:sz="4" w:space="0"/>
              <w:left w:val="single" w:color="000000" w:sz="4" w:space="0"/>
              <w:bottom w:val="single" w:color="000000" w:sz="4" w:space="0"/>
              <w:right w:val="single" w:color="000000" w:sz="4" w:space="0"/>
            </w:tcBorders>
          </w:tcPr>
          <w:p w14:paraId="308FBE7F">
            <w:pPr>
              <w:keepNext w:val="0"/>
              <w:keepLines w:val="0"/>
              <w:suppressLineNumbers w:val="0"/>
              <w:spacing w:before="0" w:beforeAutospacing="0" w:after="0" w:afterAutospacing="0" w:line="360" w:lineRule="exact"/>
              <w:ind w:left="0" w:right="0"/>
              <w:rPr>
                <w:rFonts w:hint="default" w:ascii="Calibri" w:hAnsi="Calibri" w:cs="宋体"/>
                <w:kern w:val="1"/>
                <w:szCs w:val="21"/>
                <w:highlight w:val="none"/>
              </w:rPr>
            </w:pPr>
            <w:r>
              <w:rPr>
                <w:rFonts w:hint="default" w:ascii="Calibri" w:hAnsi="Calibri" w:cs="宋体"/>
                <w:kern w:val="1"/>
                <w:szCs w:val="21"/>
                <w:highlight w:val="none"/>
              </w:rPr>
              <w:t>3、</w:t>
            </w:r>
            <w:r>
              <w:rPr>
                <w:rFonts w:hint="eastAsia" w:ascii="Calibri" w:hAnsi="Calibri" w:cs="宋体"/>
                <w:kern w:val="1"/>
                <w:szCs w:val="21"/>
                <w:highlight w:val="none"/>
              </w:rPr>
              <w:t>服务</w:t>
            </w:r>
            <w:r>
              <w:rPr>
                <w:rFonts w:hint="default" w:ascii="Calibri" w:hAnsi="Calibri" w:cs="宋体"/>
                <w:kern w:val="1"/>
                <w:szCs w:val="21"/>
                <w:highlight w:val="none"/>
              </w:rPr>
              <w:t>期责任：详见响应文件。</w:t>
            </w:r>
          </w:p>
        </w:tc>
      </w:tr>
      <w:tr w14:paraId="65456493">
        <w:tblPrEx>
          <w:tblCellMar>
            <w:top w:w="0" w:type="dxa"/>
            <w:left w:w="108" w:type="dxa"/>
            <w:bottom w:w="0" w:type="dxa"/>
            <w:right w:w="108" w:type="dxa"/>
          </w:tblCellMar>
        </w:tblPrEx>
        <w:trPr>
          <w:trHeight w:val="931" w:hRule="atLeast"/>
          <w:jc w:val="center"/>
        </w:trPr>
        <w:tc>
          <w:tcPr>
            <w:tcW w:w="9376" w:type="dxa"/>
            <w:gridSpan w:val="2"/>
            <w:tcBorders>
              <w:top w:val="single" w:color="000000" w:sz="4" w:space="0"/>
              <w:left w:val="single" w:color="000000" w:sz="4" w:space="0"/>
              <w:bottom w:val="single" w:color="000000" w:sz="4" w:space="0"/>
              <w:right w:val="single" w:color="000000" w:sz="4" w:space="0"/>
            </w:tcBorders>
          </w:tcPr>
          <w:p w14:paraId="15D147F8">
            <w:pPr>
              <w:keepNext w:val="0"/>
              <w:keepLines w:val="0"/>
              <w:suppressLineNumbers w:val="0"/>
              <w:spacing w:before="0" w:beforeAutospacing="0" w:after="0" w:afterAutospacing="0" w:line="360" w:lineRule="exact"/>
              <w:ind w:left="0" w:right="0"/>
              <w:rPr>
                <w:rFonts w:hint="default" w:ascii="Calibri" w:hAnsi="Calibri" w:cs="宋体"/>
                <w:kern w:val="1"/>
                <w:szCs w:val="21"/>
                <w:highlight w:val="none"/>
              </w:rPr>
            </w:pPr>
            <w:r>
              <w:rPr>
                <w:rFonts w:hint="default" w:ascii="Calibri" w:hAnsi="Calibri" w:cs="宋体"/>
                <w:kern w:val="1"/>
                <w:szCs w:val="21"/>
                <w:highlight w:val="none"/>
              </w:rPr>
              <w:t>4、其他具体事项：详见响应文件。</w:t>
            </w:r>
          </w:p>
        </w:tc>
      </w:tr>
      <w:tr w14:paraId="24E0AB84">
        <w:tblPrEx>
          <w:tblCellMar>
            <w:top w:w="0" w:type="dxa"/>
            <w:left w:w="108" w:type="dxa"/>
            <w:bottom w:w="0" w:type="dxa"/>
            <w:right w:w="108" w:type="dxa"/>
          </w:tblCellMar>
        </w:tblPrEx>
        <w:trPr>
          <w:trHeight w:val="1164" w:hRule="atLeast"/>
          <w:jc w:val="center"/>
        </w:trPr>
        <w:tc>
          <w:tcPr>
            <w:tcW w:w="4742" w:type="dxa"/>
            <w:tcBorders>
              <w:top w:val="single" w:color="000000" w:sz="4" w:space="0"/>
              <w:left w:val="single" w:color="000000" w:sz="4" w:space="0"/>
              <w:bottom w:val="single" w:color="000000" w:sz="4" w:space="0"/>
              <w:right w:val="single" w:color="000000" w:sz="4" w:space="0"/>
            </w:tcBorders>
            <w:vAlign w:val="center"/>
          </w:tcPr>
          <w:p w14:paraId="2B1667D2">
            <w:pPr>
              <w:keepNext w:val="0"/>
              <w:keepLines w:val="0"/>
              <w:suppressLineNumbers w:val="0"/>
              <w:spacing w:before="0" w:beforeAutospacing="0" w:after="0" w:afterAutospacing="0" w:line="360" w:lineRule="exact"/>
              <w:ind w:left="0" w:right="0"/>
              <w:rPr>
                <w:rFonts w:hint="default" w:ascii="Calibri" w:hAnsi="Calibri" w:cs="宋体"/>
                <w:kern w:val="1"/>
                <w:szCs w:val="21"/>
                <w:highlight w:val="none"/>
              </w:rPr>
            </w:pPr>
            <w:r>
              <w:rPr>
                <w:rFonts w:hint="default" w:ascii="Calibri" w:hAnsi="Calibri" w:cs="宋体"/>
                <w:kern w:val="1"/>
                <w:szCs w:val="21"/>
                <w:highlight w:val="none"/>
              </w:rPr>
              <w:t>甲方（章）</w:t>
            </w:r>
          </w:p>
          <w:p w14:paraId="77A9D1D9">
            <w:pPr>
              <w:keepNext w:val="0"/>
              <w:keepLines w:val="0"/>
              <w:suppressLineNumbers w:val="0"/>
              <w:spacing w:before="0" w:beforeAutospacing="0" w:after="0" w:afterAutospacing="0" w:line="360" w:lineRule="exact"/>
              <w:ind w:left="0" w:right="0" w:firstLine="422"/>
              <w:rPr>
                <w:rFonts w:hint="default" w:ascii="Calibri" w:hAnsi="Calibri" w:cs="宋体"/>
                <w:kern w:val="1"/>
                <w:szCs w:val="21"/>
                <w:highlight w:val="none"/>
              </w:rPr>
            </w:pPr>
          </w:p>
          <w:p w14:paraId="1E40FE11">
            <w:pPr>
              <w:keepNext w:val="0"/>
              <w:keepLines w:val="0"/>
              <w:suppressLineNumbers w:val="0"/>
              <w:spacing w:before="0" w:beforeAutospacing="0" w:after="0" w:afterAutospacing="0" w:line="360" w:lineRule="exact"/>
              <w:ind w:left="0" w:right="0" w:firstLine="422"/>
              <w:rPr>
                <w:rFonts w:hint="default" w:ascii="Calibri" w:hAnsi="Calibri" w:cs="宋体"/>
                <w:kern w:val="1"/>
                <w:szCs w:val="21"/>
                <w:highlight w:val="none"/>
              </w:rPr>
            </w:pPr>
          </w:p>
          <w:p w14:paraId="57D4EB9B">
            <w:pPr>
              <w:keepNext w:val="0"/>
              <w:keepLines w:val="0"/>
              <w:suppressLineNumbers w:val="0"/>
              <w:spacing w:before="0" w:beforeAutospacing="0" w:after="0" w:afterAutospacing="0" w:line="360" w:lineRule="exact"/>
              <w:ind w:left="0" w:right="0" w:firstLine="422"/>
              <w:rPr>
                <w:rFonts w:hint="default" w:ascii="Calibri" w:hAnsi="Calibri" w:cs="宋体"/>
                <w:kern w:val="1"/>
                <w:szCs w:val="21"/>
                <w:highlight w:val="none"/>
              </w:rPr>
            </w:pPr>
          </w:p>
          <w:p w14:paraId="4568609A">
            <w:pPr>
              <w:keepNext w:val="0"/>
              <w:keepLines w:val="0"/>
              <w:suppressLineNumbers w:val="0"/>
              <w:spacing w:before="0" w:beforeAutospacing="0" w:after="0" w:afterAutospacing="0" w:line="360" w:lineRule="exact"/>
              <w:ind w:left="0" w:right="0" w:firstLine="422"/>
              <w:rPr>
                <w:rFonts w:hint="default" w:ascii="Calibri" w:hAnsi="Calibri" w:cs="宋体"/>
                <w:kern w:val="1"/>
                <w:szCs w:val="21"/>
                <w:highlight w:val="none"/>
              </w:rPr>
            </w:pPr>
            <w:r>
              <w:rPr>
                <w:rFonts w:hint="default" w:ascii="Calibri" w:hAnsi="Calibri" w:cs="宋体"/>
                <w:kern w:val="1"/>
                <w:szCs w:val="21"/>
                <w:highlight w:val="none"/>
              </w:rPr>
              <w:t xml:space="preserve">                      年   月   日 </w:t>
            </w:r>
          </w:p>
        </w:tc>
        <w:tc>
          <w:tcPr>
            <w:tcW w:w="4634" w:type="dxa"/>
            <w:tcBorders>
              <w:top w:val="single" w:color="000000" w:sz="4" w:space="0"/>
              <w:left w:val="single" w:color="000000" w:sz="4" w:space="0"/>
              <w:bottom w:val="single" w:color="000000" w:sz="4" w:space="0"/>
              <w:right w:val="single" w:color="000000" w:sz="4" w:space="0"/>
            </w:tcBorders>
            <w:vAlign w:val="center"/>
          </w:tcPr>
          <w:p w14:paraId="25F02C1E">
            <w:pPr>
              <w:keepNext w:val="0"/>
              <w:keepLines w:val="0"/>
              <w:suppressLineNumbers w:val="0"/>
              <w:spacing w:before="0" w:beforeAutospacing="0" w:after="0" w:afterAutospacing="0" w:line="360" w:lineRule="exact"/>
              <w:ind w:left="0" w:right="0"/>
              <w:rPr>
                <w:rFonts w:hint="default" w:ascii="Calibri" w:hAnsi="Calibri" w:cs="宋体"/>
                <w:kern w:val="1"/>
                <w:szCs w:val="21"/>
                <w:highlight w:val="none"/>
              </w:rPr>
            </w:pPr>
            <w:r>
              <w:rPr>
                <w:rFonts w:hint="default" w:ascii="Calibri" w:hAnsi="Calibri" w:cs="宋体"/>
                <w:kern w:val="1"/>
                <w:szCs w:val="21"/>
                <w:highlight w:val="none"/>
              </w:rPr>
              <w:t>乙方（章）</w:t>
            </w:r>
          </w:p>
          <w:p w14:paraId="53AE32A5">
            <w:pPr>
              <w:keepNext w:val="0"/>
              <w:keepLines w:val="0"/>
              <w:suppressLineNumbers w:val="0"/>
              <w:spacing w:before="0" w:beforeAutospacing="0" w:after="0" w:afterAutospacing="0" w:line="360" w:lineRule="exact"/>
              <w:ind w:left="0" w:right="0" w:firstLine="422"/>
              <w:rPr>
                <w:rFonts w:hint="default" w:ascii="Calibri" w:hAnsi="Calibri" w:cs="宋体"/>
                <w:kern w:val="1"/>
                <w:szCs w:val="21"/>
                <w:highlight w:val="none"/>
              </w:rPr>
            </w:pPr>
          </w:p>
          <w:p w14:paraId="44DE7508">
            <w:pPr>
              <w:keepNext w:val="0"/>
              <w:keepLines w:val="0"/>
              <w:suppressLineNumbers w:val="0"/>
              <w:spacing w:before="0" w:beforeAutospacing="0" w:after="0" w:afterAutospacing="0" w:line="360" w:lineRule="exact"/>
              <w:ind w:left="0" w:right="0" w:firstLine="422"/>
              <w:rPr>
                <w:rFonts w:hint="default" w:ascii="Calibri" w:hAnsi="Calibri" w:cs="宋体"/>
                <w:kern w:val="1"/>
                <w:szCs w:val="21"/>
                <w:highlight w:val="none"/>
              </w:rPr>
            </w:pPr>
          </w:p>
          <w:p w14:paraId="67C47782">
            <w:pPr>
              <w:keepNext w:val="0"/>
              <w:keepLines w:val="0"/>
              <w:suppressLineNumbers w:val="0"/>
              <w:spacing w:before="0" w:beforeAutospacing="0" w:after="0" w:afterAutospacing="0" w:line="360" w:lineRule="exact"/>
              <w:ind w:left="0" w:right="0" w:firstLine="422"/>
              <w:rPr>
                <w:rFonts w:hint="default" w:ascii="Calibri" w:hAnsi="Calibri" w:cs="宋体"/>
                <w:kern w:val="1"/>
                <w:szCs w:val="21"/>
                <w:highlight w:val="none"/>
              </w:rPr>
            </w:pPr>
          </w:p>
          <w:p w14:paraId="2BD3C6FE">
            <w:pPr>
              <w:keepNext w:val="0"/>
              <w:keepLines w:val="0"/>
              <w:suppressLineNumbers w:val="0"/>
              <w:spacing w:before="0" w:beforeAutospacing="0" w:after="0" w:afterAutospacing="0" w:line="360" w:lineRule="exact"/>
              <w:ind w:left="0" w:right="0" w:firstLine="422"/>
              <w:rPr>
                <w:rFonts w:hint="default" w:ascii="Calibri" w:hAnsi="Calibri" w:cs="宋体"/>
                <w:kern w:val="1"/>
                <w:szCs w:val="21"/>
                <w:highlight w:val="none"/>
              </w:rPr>
            </w:pPr>
            <w:r>
              <w:rPr>
                <w:rFonts w:hint="default" w:ascii="Calibri" w:hAnsi="Calibri" w:cs="宋体"/>
                <w:kern w:val="1"/>
                <w:szCs w:val="21"/>
                <w:highlight w:val="none"/>
              </w:rPr>
              <w:t xml:space="preserve">                       年   月   日</w:t>
            </w:r>
          </w:p>
        </w:tc>
      </w:tr>
    </w:tbl>
    <w:p w14:paraId="0DE6E7CD">
      <w:pPr>
        <w:spacing w:line="360" w:lineRule="exact"/>
        <w:rPr>
          <w:rFonts w:ascii="宋体" w:hAnsi="宋体" w:cs="宋体"/>
          <w:kern w:val="1"/>
          <w:szCs w:val="21"/>
          <w:highlight w:val="none"/>
        </w:rPr>
      </w:pPr>
      <w:r>
        <w:rPr>
          <w:rFonts w:ascii="宋体" w:hAnsi="宋体" w:cs="宋体"/>
          <w:kern w:val="1"/>
          <w:szCs w:val="21"/>
          <w:highlight w:val="none"/>
        </w:rPr>
        <w:t xml:space="preserve">  注：售后服务事项填不下时可另加附页。</w:t>
      </w:r>
    </w:p>
    <w:p w14:paraId="556C6566">
      <w:pPr>
        <w:pStyle w:val="10"/>
        <w:spacing w:line="360" w:lineRule="auto"/>
        <w:rPr>
          <w:highlight w:val="none"/>
        </w:rPr>
      </w:pPr>
      <w:r>
        <w:rPr>
          <w:rFonts w:hAnsi="宋体"/>
          <w:b/>
          <w:highlight w:val="none"/>
        </w:rPr>
        <w:br w:type="page"/>
      </w:r>
    </w:p>
    <w:p w14:paraId="15A6D69A">
      <w:pPr>
        <w:pStyle w:val="10"/>
        <w:spacing w:line="360" w:lineRule="auto"/>
        <w:rPr>
          <w:rFonts w:hAnsi="宋体"/>
          <w:highlight w:val="none"/>
        </w:rPr>
      </w:pPr>
      <w:r>
        <w:rPr>
          <w:rFonts w:hint="eastAsia" w:hAnsi="宋体"/>
          <w:b/>
          <w:highlight w:val="none"/>
        </w:rPr>
        <w:t>附件1：</w:t>
      </w:r>
    </w:p>
    <w:p w14:paraId="5E231B5F">
      <w:pPr>
        <w:snapToGrid w:val="0"/>
        <w:spacing w:line="360" w:lineRule="exact"/>
        <w:jc w:val="center"/>
        <w:rPr>
          <w:b/>
          <w:bCs/>
          <w:szCs w:val="21"/>
          <w:highlight w:val="none"/>
        </w:rPr>
      </w:pPr>
      <w:r>
        <w:rPr>
          <w:rFonts w:hint="eastAsia"/>
          <w:b/>
          <w:bCs/>
          <w:szCs w:val="21"/>
          <w:highlight w:val="none"/>
        </w:rPr>
        <w:t>采购项目合同验收报告（格式）</w:t>
      </w:r>
    </w:p>
    <w:p w14:paraId="63D1B537">
      <w:pPr>
        <w:widowControl/>
        <w:spacing w:line="360" w:lineRule="auto"/>
        <w:jc w:val="center"/>
        <w:rPr>
          <w:rFonts w:ascii="宋体" w:hAnsi="宋体" w:cs="@方正仿宋简体"/>
          <w:b/>
          <w:bCs/>
          <w:kern w:val="0"/>
          <w:szCs w:val="21"/>
          <w:highlight w:val="none"/>
        </w:rPr>
      </w:pPr>
    </w:p>
    <w:p w14:paraId="0DF1C6D0">
      <w:pPr>
        <w:widowControl/>
        <w:snapToGrid w:val="0"/>
        <w:spacing w:line="360" w:lineRule="auto"/>
        <w:jc w:val="left"/>
        <w:rPr>
          <w:rFonts w:ascii="宋体" w:hAnsi="宋体" w:cs="@方正仿宋简体"/>
          <w:kern w:val="0"/>
          <w:szCs w:val="21"/>
          <w:highlight w:val="none"/>
        </w:rPr>
      </w:pPr>
      <w:r>
        <w:rPr>
          <w:rFonts w:hint="eastAsia" w:ascii="宋体" w:hAnsi="宋体" w:cs="@方正仿宋简体"/>
          <w:kern w:val="0"/>
          <w:szCs w:val="21"/>
          <w:highlight w:val="none"/>
        </w:rPr>
        <w:t xml:space="preserve">    根据采购合同（采购合同编号：</w:t>
      </w:r>
      <w:r>
        <w:rPr>
          <w:rFonts w:hint="eastAsia" w:ascii="宋体" w:hAnsi="宋体" w:cs="@方正仿宋简体"/>
          <w:kern w:val="0"/>
          <w:szCs w:val="21"/>
          <w:highlight w:val="none"/>
          <w:u w:val="single"/>
        </w:rPr>
        <w:softHyphen/>
      </w:r>
      <w:r>
        <w:rPr>
          <w:rFonts w:hint="eastAsia" w:ascii="宋体" w:hAnsi="宋体" w:cs="@方正仿宋简体"/>
          <w:kern w:val="0"/>
          <w:szCs w:val="21"/>
          <w:highlight w:val="none"/>
          <w:u w:val="single"/>
        </w:rPr>
        <w:t xml:space="preserve">                </w:t>
      </w:r>
      <w:r>
        <w:rPr>
          <w:rFonts w:hint="eastAsia" w:ascii="宋体" w:hAnsi="宋体" w:cs="@方正仿宋简体"/>
          <w:kern w:val="0"/>
          <w:szCs w:val="21"/>
          <w:highlight w:val="none"/>
        </w:rPr>
        <w:t>）的约定，我单位对</w:t>
      </w:r>
      <w:r>
        <w:rPr>
          <w:rFonts w:hint="eastAsia" w:ascii="宋体" w:hAnsi="宋体" w:cs="@方正仿宋简体"/>
          <w:kern w:val="0"/>
          <w:szCs w:val="21"/>
          <w:highlight w:val="none"/>
          <w:u w:val="single"/>
        </w:rPr>
        <w:t xml:space="preserve">（采购项目名称）       </w:t>
      </w:r>
      <w:r>
        <w:rPr>
          <w:rFonts w:hint="eastAsia" w:ascii="宋体" w:hAnsi="宋体" w:cs="@方正仿宋简体"/>
          <w:kern w:val="0"/>
          <w:szCs w:val="21"/>
          <w:highlight w:val="none"/>
        </w:rPr>
        <w:t>采购项目中标（或成交）供应商</w:t>
      </w:r>
      <w:r>
        <w:rPr>
          <w:rFonts w:hint="eastAsia" w:ascii="宋体" w:hAnsi="宋体" w:cs="@方正仿宋简体"/>
          <w:kern w:val="0"/>
          <w:szCs w:val="21"/>
          <w:highlight w:val="none"/>
          <w:u w:val="single"/>
        </w:rPr>
        <w:t xml:space="preserve">    （公司名称）    </w:t>
      </w:r>
      <w:r>
        <w:rPr>
          <w:rFonts w:hint="eastAsia" w:ascii="宋体" w:hAnsi="宋体" w:cs="@方正仿宋简体"/>
          <w:kern w:val="0"/>
          <w:szCs w:val="21"/>
          <w:highlight w:val="none"/>
        </w:rPr>
        <w:t>提供的货物（或服务）进行了验收，验收情况如下：</w:t>
      </w:r>
    </w:p>
    <w:tbl>
      <w:tblPr>
        <w:tblStyle w:val="2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592"/>
        <w:gridCol w:w="744"/>
        <w:gridCol w:w="1961"/>
        <w:gridCol w:w="1278"/>
        <w:gridCol w:w="1822"/>
        <w:gridCol w:w="13"/>
        <w:gridCol w:w="847"/>
        <w:gridCol w:w="893"/>
        <w:gridCol w:w="1297"/>
      </w:tblGrid>
      <w:tr w14:paraId="118ABE6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78" w:hRule="atLeast"/>
          <w:jc w:val="center"/>
        </w:trPr>
        <w:tc>
          <w:tcPr>
            <w:tcW w:w="592" w:type="dxa"/>
            <w:tcBorders>
              <w:top w:val="single" w:color="auto" w:sz="4" w:space="0"/>
              <w:right w:val="single" w:color="auto" w:sz="4" w:space="0"/>
            </w:tcBorders>
            <w:vAlign w:val="center"/>
          </w:tcPr>
          <w:p w14:paraId="65416112">
            <w:pPr>
              <w:keepNext w:val="0"/>
              <w:keepLines w:val="0"/>
              <w:suppressLineNumbers w:val="0"/>
              <w:spacing w:before="0" w:beforeAutospacing="0" w:after="0" w:afterAutospacing="0"/>
              <w:ind w:left="0" w:right="0"/>
              <w:jc w:val="center"/>
              <w:rPr>
                <w:rFonts w:hint="default" w:ascii="宋体" w:hAnsi="宋体" w:cs="宋体"/>
                <w:szCs w:val="21"/>
                <w:highlight w:val="none"/>
              </w:rPr>
            </w:pPr>
            <w:r>
              <w:rPr>
                <w:rFonts w:hint="eastAsia" w:ascii="宋体" w:hAnsi="宋体" w:cs="宋体"/>
                <w:szCs w:val="21"/>
                <w:highlight w:val="none"/>
              </w:rPr>
              <w:t>序号</w:t>
            </w:r>
          </w:p>
        </w:tc>
        <w:tc>
          <w:tcPr>
            <w:tcW w:w="2705" w:type="dxa"/>
            <w:gridSpan w:val="2"/>
            <w:tcBorders>
              <w:top w:val="single" w:color="auto" w:sz="4" w:space="0"/>
              <w:left w:val="single" w:color="auto" w:sz="4" w:space="0"/>
            </w:tcBorders>
            <w:vAlign w:val="center"/>
          </w:tcPr>
          <w:p w14:paraId="408FA3E2">
            <w:pPr>
              <w:keepNext w:val="0"/>
              <w:keepLines w:val="0"/>
              <w:suppressLineNumbers w:val="0"/>
              <w:spacing w:before="0" w:beforeAutospacing="0" w:after="0" w:afterAutospacing="0"/>
              <w:ind w:left="0" w:right="0"/>
              <w:jc w:val="center"/>
              <w:rPr>
                <w:rFonts w:hint="default" w:ascii="宋体" w:hAnsi="宋体" w:cs="宋体"/>
                <w:szCs w:val="21"/>
                <w:highlight w:val="none"/>
              </w:rPr>
            </w:pPr>
            <w:r>
              <w:rPr>
                <w:rFonts w:hint="eastAsia" w:ascii="宋体" w:hAnsi="宋体" w:cs="宋体"/>
                <w:szCs w:val="21"/>
                <w:highlight w:val="none"/>
              </w:rPr>
              <w:t>名    称</w:t>
            </w:r>
          </w:p>
        </w:tc>
        <w:tc>
          <w:tcPr>
            <w:tcW w:w="3100" w:type="dxa"/>
            <w:gridSpan w:val="2"/>
            <w:vAlign w:val="center"/>
          </w:tcPr>
          <w:p w14:paraId="43FC98F9">
            <w:pPr>
              <w:keepNext w:val="0"/>
              <w:keepLines w:val="0"/>
              <w:suppressLineNumbers w:val="0"/>
              <w:spacing w:before="0" w:beforeAutospacing="0" w:after="0" w:afterAutospacing="0"/>
              <w:ind w:left="0" w:right="0"/>
              <w:jc w:val="center"/>
              <w:rPr>
                <w:rFonts w:hint="default" w:ascii="宋体" w:hAnsi="宋体" w:cs="宋体"/>
                <w:szCs w:val="21"/>
                <w:highlight w:val="none"/>
              </w:rPr>
            </w:pPr>
            <w:r>
              <w:rPr>
                <w:rFonts w:hint="eastAsia" w:ascii="宋体" w:hAnsi="宋体" w:cs="宋体"/>
                <w:szCs w:val="21"/>
                <w:highlight w:val="none"/>
              </w:rPr>
              <w:t>货物型号规格、标准及配置</w:t>
            </w:r>
          </w:p>
          <w:p w14:paraId="2D70D13C">
            <w:pPr>
              <w:keepNext w:val="0"/>
              <w:keepLines w:val="0"/>
              <w:suppressLineNumbers w:val="0"/>
              <w:spacing w:before="0" w:beforeAutospacing="0" w:after="0" w:afterAutospacing="0"/>
              <w:ind w:left="0" w:right="0"/>
              <w:jc w:val="center"/>
              <w:rPr>
                <w:rFonts w:hint="default" w:ascii="宋体" w:hAnsi="宋体" w:cs="宋体"/>
                <w:szCs w:val="21"/>
                <w:highlight w:val="none"/>
              </w:rPr>
            </w:pPr>
            <w:r>
              <w:rPr>
                <w:rFonts w:hint="eastAsia" w:ascii="宋体" w:hAnsi="宋体" w:cs="宋体"/>
                <w:szCs w:val="21"/>
                <w:highlight w:val="none"/>
              </w:rPr>
              <w:t>（或服务内容、标准）</w:t>
            </w:r>
          </w:p>
        </w:tc>
        <w:tc>
          <w:tcPr>
            <w:tcW w:w="860" w:type="dxa"/>
            <w:gridSpan w:val="2"/>
            <w:vAlign w:val="center"/>
          </w:tcPr>
          <w:p w14:paraId="3C8F26C2">
            <w:pPr>
              <w:keepNext w:val="0"/>
              <w:keepLines w:val="0"/>
              <w:suppressLineNumbers w:val="0"/>
              <w:spacing w:before="0" w:beforeAutospacing="0" w:after="0" w:afterAutospacing="0"/>
              <w:ind w:left="0" w:right="0"/>
              <w:jc w:val="center"/>
              <w:rPr>
                <w:rFonts w:hint="default" w:ascii="宋体" w:hAnsi="宋体" w:cs="宋体"/>
                <w:szCs w:val="21"/>
                <w:highlight w:val="none"/>
              </w:rPr>
            </w:pPr>
            <w:r>
              <w:rPr>
                <w:rFonts w:hint="eastAsia" w:ascii="宋体" w:hAnsi="宋体" w:cs="宋体"/>
                <w:szCs w:val="21"/>
                <w:highlight w:val="none"/>
              </w:rPr>
              <w:t>数量</w:t>
            </w:r>
          </w:p>
        </w:tc>
        <w:tc>
          <w:tcPr>
            <w:tcW w:w="893" w:type="dxa"/>
            <w:tcBorders>
              <w:right w:val="single" w:color="auto" w:sz="4" w:space="0"/>
            </w:tcBorders>
            <w:vAlign w:val="center"/>
          </w:tcPr>
          <w:p w14:paraId="4F12EC51">
            <w:pPr>
              <w:keepNext w:val="0"/>
              <w:keepLines w:val="0"/>
              <w:suppressLineNumbers w:val="0"/>
              <w:spacing w:before="0" w:beforeAutospacing="0" w:after="0" w:afterAutospacing="0"/>
              <w:ind w:left="0" w:right="0"/>
              <w:jc w:val="center"/>
              <w:rPr>
                <w:rFonts w:hint="default" w:ascii="宋体" w:hAnsi="宋体" w:cs="宋体"/>
                <w:szCs w:val="21"/>
                <w:highlight w:val="none"/>
              </w:rPr>
            </w:pPr>
            <w:r>
              <w:rPr>
                <w:rFonts w:hint="eastAsia" w:ascii="宋体" w:hAnsi="宋体" w:cs="宋体"/>
                <w:szCs w:val="21"/>
                <w:highlight w:val="none"/>
              </w:rPr>
              <w:t>金额</w:t>
            </w:r>
          </w:p>
        </w:tc>
        <w:tc>
          <w:tcPr>
            <w:tcW w:w="1297" w:type="dxa"/>
            <w:tcBorders>
              <w:left w:val="single" w:color="auto" w:sz="4" w:space="0"/>
            </w:tcBorders>
            <w:vAlign w:val="center"/>
          </w:tcPr>
          <w:p w14:paraId="1C0CEE7A">
            <w:pPr>
              <w:keepNext w:val="0"/>
              <w:keepLines w:val="0"/>
              <w:suppressLineNumbers w:val="0"/>
              <w:spacing w:before="0" w:beforeAutospacing="0" w:after="0" w:afterAutospacing="0"/>
              <w:ind w:left="0" w:right="0"/>
              <w:jc w:val="center"/>
              <w:rPr>
                <w:rFonts w:hint="default" w:ascii="宋体" w:hAnsi="宋体" w:cs="宋体"/>
                <w:szCs w:val="21"/>
                <w:highlight w:val="none"/>
              </w:rPr>
            </w:pPr>
            <w:r>
              <w:rPr>
                <w:rFonts w:hint="eastAsia" w:ascii="宋体" w:hAnsi="宋体" w:cs="宋体"/>
                <w:szCs w:val="21"/>
                <w:highlight w:val="none"/>
              </w:rPr>
              <w:t>与合同约定</w:t>
            </w:r>
          </w:p>
          <w:p w14:paraId="566EF9C2">
            <w:pPr>
              <w:keepNext w:val="0"/>
              <w:keepLines w:val="0"/>
              <w:suppressLineNumbers w:val="0"/>
              <w:spacing w:before="0" w:beforeAutospacing="0" w:after="0" w:afterAutospacing="0"/>
              <w:ind w:left="0" w:right="0"/>
              <w:jc w:val="center"/>
              <w:rPr>
                <w:rFonts w:hint="default" w:ascii="宋体" w:hAnsi="宋体" w:cs="宋体"/>
                <w:szCs w:val="21"/>
                <w:highlight w:val="none"/>
              </w:rPr>
            </w:pPr>
            <w:r>
              <w:rPr>
                <w:rFonts w:hint="eastAsia" w:ascii="宋体" w:hAnsi="宋体" w:cs="宋体"/>
                <w:szCs w:val="21"/>
                <w:highlight w:val="none"/>
              </w:rPr>
              <w:t>是否一致</w:t>
            </w:r>
          </w:p>
        </w:tc>
      </w:tr>
      <w:tr w14:paraId="1D99A4F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vAlign w:val="center"/>
          </w:tcPr>
          <w:p w14:paraId="7392B3F0">
            <w:pPr>
              <w:keepNext w:val="0"/>
              <w:keepLines w:val="0"/>
              <w:suppressLineNumbers w:val="0"/>
              <w:spacing w:before="0" w:beforeAutospacing="0" w:after="0" w:afterAutospacing="0"/>
              <w:ind w:left="0" w:right="0"/>
              <w:rPr>
                <w:rFonts w:hint="default" w:ascii="宋体" w:hAnsi="宋体" w:cs="宋体"/>
                <w:szCs w:val="21"/>
                <w:highlight w:val="none"/>
              </w:rPr>
            </w:pPr>
          </w:p>
        </w:tc>
        <w:tc>
          <w:tcPr>
            <w:tcW w:w="2705" w:type="dxa"/>
            <w:gridSpan w:val="2"/>
            <w:tcBorders>
              <w:left w:val="single" w:color="auto" w:sz="4" w:space="0"/>
            </w:tcBorders>
            <w:vAlign w:val="center"/>
          </w:tcPr>
          <w:p w14:paraId="6307869D">
            <w:pPr>
              <w:keepNext w:val="0"/>
              <w:keepLines w:val="0"/>
              <w:suppressLineNumbers w:val="0"/>
              <w:spacing w:before="0" w:beforeAutospacing="0" w:after="0" w:afterAutospacing="0"/>
              <w:ind w:left="0" w:right="0"/>
              <w:rPr>
                <w:rFonts w:hint="default" w:ascii="宋体" w:hAnsi="宋体" w:cs="宋体"/>
                <w:szCs w:val="21"/>
                <w:highlight w:val="none"/>
              </w:rPr>
            </w:pPr>
            <w:r>
              <w:rPr>
                <w:rFonts w:hint="eastAsia" w:ascii="宋体" w:hAnsi="宋体" w:cs="宋体"/>
                <w:szCs w:val="21"/>
                <w:highlight w:val="none"/>
              </w:rPr>
              <w:t> </w:t>
            </w:r>
          </w:p>
        </w:tc>
        <w:tc>
          <w:tcPr>
            <w:tcW w:w="3100" w:type="dxa"/>
            <w:gridSpan w:val="2"/>
            <w:vAlign w:val="center"/>
          </w:tcPr>
          <w:p w14:paraId="183F28E8">
            <w:pPr>
              <w:keepNext w:val="0"/>
              <w:keepLines w:val="0"/>
              <w:suppressLineNumbers w:val="0"/>
              <w:spacing w:before="0" w:beforeAutospacing="0" w:after="0" w:afterAutospacing="0"/>
              <w:ind w:left="0" w:right="0"/>
              <w:rPr>
                <w:rFonts w:hint="default" w:ascii="宋体" w:hAnsi="宋体" w:cs="宋体"/>
                <w:szCs w:val="21"/>
                <w:highlight w:val="none"/>
              </w:rPr>
            </w:pPr>
            <w:r>
              <w:rPr>
                <w:rFonts w:hint="eastAsia" w:ascii="宋体" w:hAnsi="宋体" w:cs="宋体"/>
                <w:szCs w:val="21"/>
                <w:highlight w:val="none"/>
              </w:rPr>
              <w:t> </w:t>
            </w:r>
          </w:p>
        </w:tc>
        <w:tc>
          <w:tcPr>
            <w:tcW w:w="860" w:type="dxa"/>
            <w:gridSpan w:val="2"/>
            <w:vAlign w:val="center"/>
          </w:tcPr>
          <w:p w14:paraId="6656509F">
            <w:pPr>
              <w:keepNext w:val="0"/>
              <w:keepLines w:val="0"/>
              <w:suppressLineNumbers w:val="0"/>
              <w:spacing w:before="0" w:beforeAutospacing="0" w:after="0" w:afterAutospacing="0"/>
              <w:ind w:left="0" w:right="0"/>
              <w:rPr>
                <w:rFonts w:hint="default" w:ascii="宋体" w:hAnsi="宋体" w:cs="宋体"/>
                <w:szCs w:val="21"/>
                <w:highlight w:val="none"/>
              </w:rPr>
            </w:pPr>
            <w:r>
              <w:rPr>
                <w:rFonts w:hint="eastAsia" w:ascii="宋体" w:hAnsi="宋体" w:cs="宋体"/>
                <w:szCs w:val="21"/>
                <w:highlight w:val="none"/>
              </w:rPr>
              <w:t> </w:t>
            </w:r>
          </w:p>
        </w:tc>
        <w:tc>
          <w:tcPr>
            <w:tcW w:w="893" w:type="dxa"/>
            <w:tcBorders>
              <w:right w:val="single" w:color="auto" w:sz="4" w:space="0"/>
            </w:tcBorders>
            <w:vAlign w:val="center"/>
          </w:tcPr>
          <w:p w14:paraId="3A0C7087">
            <w:pPr>
              <w:keepNext w:val="0"/>
              <w:keepLines w:val="0"/>
              <w:suppressLineNumbers w:val="0"/>
              <w:spacing w:before="0" w:beforeAutospacing="0" w:after="0" w:afterAutospacing="0"/>
              <w:ind w:left="0" w:right="0"/>
              <w:rPr>
                <w:rFonts w:hint="default" w:ascii="宋体" w:hAnsi="宋体" w:cs="宋体"/>
                <w:szCs w:val="21"/>
                <w:highlight w:val="none"/>
              </w:rPr>
            </w:pPr>
            <w:r>
              <w:rPr>
                <w:rFonts w:hint="eastAsia" w:ascii="宋体" w:hAnsi="宋体" w:cs="宋体"/>
                <w:szCs w:val="21"/>
                <w:highlight w:val="none"/>
              </w:rPr>
              <w:t> </w:t>
            </w:r>
          </w:p>
        </w:tc>
        <w:tc>
          <w:tcPr>
            <w:tcW w:w="1297" w:type="dxa"/>
            <w:tcBorders>
              <w:left w:val="single" w:color="auto" w:sz="4" w:space="0"/>
            </w:tcBorders>
            <w:vAlign w:val="center"/>
          </w:tcPr>
          <w:p w14:paraId="6A4F6535">
            <w:pPr>
              <w:keepNext w:val="0"/>
              <w:keepLines w:val="0"/>
              <w:suppressLineNumbers w:val="0"/>
              <w:spacing w:before="0" w:beforeAutospacing="0" w:after="0" w:afterAutospacing="0"/>
              <w:ind w:left="0" w:right="0"/>
              <w:rPr>
                <w:rFonts w:hint="default" w:ascii="宋体" w:hAnsi="宋体" w:cs="宋体"/>
                <w:szCs w:val="21"/>
                <w:highlight w:val="none"/>
              </w:rPr>
            </w:pPr>
          </w:p>
        </w:tc>
      </w:tr>
      <w:tr w14:paraId="5561523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vAlign w:val="center"/>
          </w:tcPr>
          <w:p w14:paraId="0F7CF5E5">
            <w:pPr>
              <w:keepNext w:val="0"/>
              <w:keepLines w:val="0"/>
              <w:suppressLineNumbers w:val="0"/>
              <w:spacing w:before="0" w:beforeAutospacing="0" w:after="0" w:afterAutospacing="0"/>
              <w:ind w:left="0" w:right="0"/>
              <w:rPr>
                <w:rFonts w:hint="default" w:ascii="宋体" w:hAnsi="宋体" w:cs="宋体"/>
                <w:szCs w:val="21"/>
                <w:highlight w:val="none"/>
              </w:rPr>
            </w:pPr>
          </w:p>
        </w:tc>
        <w:tc>
          <w:tcPr>
            <w:tcW w:w="2705" w:type="dxa"/>
            <w:gridSpan w:val="2"/>
            <w:tcBorders>
              <w:left w:val="single" w:color="auto" w:sz="4" w:space="0"/>
            </w:tcBorders>
            <w:vAlign w:val="center"/>
          </w:tcPr>
          <w:p w14:paraId="09DE9663">
            <w:pPr>
              <w:keepNext w:val="0"/>
              <w:keepLines w:val="0"/>
              <w:suppressLineNumbers w:val="0"/>
              <w:spacing w:before="0" w:beforeAutospacing="0" w:after="0" w:afterAutospacing="0"/>
              <w:ind w:left="0" w:right="0"/>
              <w:rPr>
                <w:rFonts w:hint="default" w:ascii="宋体" w:hAnsi="宋体" w:cs="宋体"/>
                <w:szCs w:val="21"/>
                <w:highlight w:val="none"/>
              </w:rPr>
            </w:pPr>
            <w:r>
              <w:rPr>
                <w:rFonts w:hint="eastAsia" w:ascii="宋体" w:hAnsi="宋体" w:cs="宋体"/>
                <w:szCs w:val="21"/>
                <w:highlight w:val="none"/>
              </w:rPr>
              <w:t> </w:t>
            </w:r>
          </w:p>
        </w:tc>
        <w:tc>
          <w:tcPr>
            <w:tcW w:w="3100" w:type="dxa"/>
            <w:gridSpan w:val="2"/>
            <w:vAlign w:val="center"/>
          </w:tcPr>
          <w:p w14:paraId="087FB2CA">
            <w:pPr>
              <w:keepNext w:val="0"/>
              <w:keepLines w:val="0"/>
              <w:suppressLineNumbers w:val="0"/>
              <w:spacing w:before="0" w:beforeAutospacing="0" w:after="0" w:afterAutospacing="0"/>
              <w:ind w:left="0" w:right="0"/>
              <w:rPr>
                <w:rFonts w:hint="default" w:ascii="宋体" w:hAnsi="宋体" w:cs="宋体"/>
                <w:szCs w:val="21"/>
                <w:highlight w:val="none"/>
              </w:rPr>
            </w:pPr>
            <w:r>
              <w:rPr>
                <w:rFonts w:hint="eastAsia" w:ascii="宋体" w:hAnsi="宋体" w:cs="宋体"/>
                <w:szCs w:val="21"/>
                <w:highlight w:val="none"/>
              </w:rPr>
              <w:t> </w:t>
            </w:r>
          </w:p>
        </w:tc>
        <w:tc>
          <w:tcPr>
            <w:tcW w:w="860" w:type="dxa"/>
            <w:gridSpan w:val="2"/>
            <w:vAlign w:val="center"/>
          </w:tcPr>
          <w:p w14:paraId="0CDD5844">
            <w:pPr>
              <w:keepNext w:val="0"/>
              <w:keepLines w:val="0"/>
              <w:suppressLineNumbers w:val="0"/>
              <w:spacing w:before="0" w:beforeAutospacing="0" w:after="0" w:afterAutospacing="0"/>
              <w:ind w:left="0" w:right="0"/>
              <w:rPr>
                <w:rFonts w:hint="default" w:ascii="宋体" w:hAnsi="宋体" w:cs="宋体"/>
                <w:szCs w:val="21"/>
                <w:highlight w:val="none"/>
              </w:rPr>
            </w:pPr>
            <w:r>
              <w:rPr>
                <w:rFonts w:hint="eastAsia" w:ascii="宋体" w:hAnsi="宋体" w:cs="宋体"/>
                <w:szCs w:val="21"/>
                <w:highlight w:val="none"/>
              </w:rPr>
              <w:t> </w:t>
            </w:r>
          </w:p>
        </w:tc>
        <w:tc>
          <w:tcPr>
            <w:tcW w:w="893" w:type="dxa"/>
            <w:tcBorders>
              <w:right w:val="single" w:color="auto" w:sz="4" w:space="0"/>
            </w:tcBorders>
            <w:vAlign w:val="center"/>
          </w:tcPr>
          <w:p w14:paraId="7AD9ADDA">
            <w:pPr>
              <w:keepNext w:val="0"/>
              <w:keepLines w:val="0"/>
              <w:suppressLineNumbers w:val="0"/>
              <w:spacing w:before="0" w:beforeAutospacing="0" w:after="0" w:afterAutospacing="0"/>
              <w:ind w:left="0" w:right="0"/>
              <w:rPr>
                <w:rFonts w:hint="default" w:ascii="宋体" w:hAnsi="宋体" w:cs="宋体"/>
                <w:szCs w:val="21"/>
                <w:highlight w:val="none"/>
              </w:rPr>
            </w:pPr>
            <w:r>
              <w:rPr>
                <w:rFonts w:hint="eastAsia" w:ascii="宋体" w:hAnsi="宋体" w:cs="宋体"/>
                <w:szCs w:val="21"/>
                <w:highlight w:val="none"/>
              </w:rPr>
              <w:t> </w:t>
            </w:r>
          </w:p>
        </w:tc>
        <w:tc>
          <w:tcPr>
            <w:tcW w:w="1297" w:type="dxa"/>
            <w:tcBorders>
              <w:left w:val="single" w:color="auto" w:sz="4" w:space="0"/>
            </w:tcBorders>
            <w:vAlign w:val="center"/>
          </w:tcPr>
          <w:p w14:paraId="2B5E24B4">
            <w:pPr>
              <w:keepNext w:val="0"/>
              <w:keepLines w:val="0"/>
              <w:suppressLineNumbers w:val="0"/>
              <w:spacing w:before="0" w:beforeAutospacing="0" w:after="0" w:afterAutospacing="0"/>
              <w:ind w:left="0" w:right="0"/>
              <w:rPr>
                <w:rFonts w:hint="default" w:ascii="宋体" w:hAnsi="宋体" w:cs="宋体"/>
                <w:szCs w:val="21"/>
                <w:highlight w:val="none"/>
              </w:rPr>
            </w:pPr>
          </w:p>
        </w:tc>
      </w:tr>
      <w:tr w14:paraId="25063B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vAlign w:val="center"/>
          </w:tcPr>
          <w:p w14:paraId="31256CBD">
            <w:pPr>
              <w:keepNext w:val="0"/>
              <w:keepLines w:val="0"/>
              <w:suppressLineNumbers w:val="0"/>
              <w:spacing w:before="0" w:beforeAutospacing="0" w:after="0" w:afterAutospacing="0"/>
              <w:ind w:left="0" w:right="0"/>
              <w:rPr>
                <w:rFonts w:hint="default" w:ascii="宋体" w:hAnsi="宋体" w:cs="宋体"/>
                <w:szCs w:val="21"/>
                <w:highlight w:val="none"/>
              </w:rPr>
            </w:pPr>
          </w:p>
        </w:tc>
        <w:tc>
          <w:tcPr>
            <w:tcW w:w="2705" w:type="dxa"/>
            <w:gridSpan w:val="2"/>
            <w:tcBorders>
              <w:left w:val="single" w:color="auto" w:sz="4" w:space="0"/>
            </w:tcBorders>
            <w:vAlign w:val="center"/>
          </w:tcPr>
          <w:p w14:paraId="70E10D2A">
            <w:pPr>
              <w:keepNext w:val="0"/>
              <w:keepLines w:val="0"/>
              <w:suppressLineNumbers w:val="0"/>
              <w:spacing w:before="0" w:beforeAutospacing="0" w:after="0" w:afterAutospacing="0"/>
              <w:ind w:left="0" w:right="0"/>
              <w:rPr>
                <w:rFonts w:hint="default" w:ascii="宋体" w:hAnsi="宋体" w:cs="宋体"/>
                <w:szCs w:val="21"/>
                <w:highlight w:val="none"/>
              </w:rPr>
            </w:pPr>
            <w:r>
              <w:rPr>
                <w:rFonts w:hint="eastAsia" w:ascii="宋体" w:hAnsi="宋体" w:cs="宋体"/>
                <w:szCs w:val="21"/>
                <w:highlight w:val="none"/>
              </w:rPr>
              <w:t> </w:t>
            </w:r>
          </w:p>
        </w:tc>
        <w:tc>
          <w:tcPr>
            <w:tcW w:w="3100" w:type="dxa"/>
            <w:gridSpan w:val="2"/>
            <w:vAlign w:val="center"/>
          </w:tcPr>
          <w:p w14:paraId="2C8028E2">
            <w:pPr>
              <w:keepNext w:val="0"/>
              <w:keepLines w:val="0"/>
              <w:suppressLineNumbers w:val="0"/>
              <w:spacing w:before="0" w:beforeAutospacing="0" w:after="0" w:afterAutospacing="0"/>
              <w:ind w:left="0" w:right="0"/>
              <w:rPr>
                <w:rFonts w:hint="default" w:ascii="宋体" w:hAnsi="宋体" w:cs="宋体"/>
                <w:szCs w:val="21"/>
                <w:highlight w:val="none"/>
              </w:rPr>
            </w:pPr>
            <w:r>
              <w:rPr>
                <w:rFonts w:hint="eastAsia" w:ascii="宋体" w:hAnsi="宋体" w:cs="宋体"/>
                <w:szCs w:val="21"/>
                <w:highlight w:val="none"/>
              </w:rPr>
              <w:t> </w:t>
            </w:r>
          </w:p>
        </w:tc>
        <w:tc>
          <w:tcPr>
            <w:tcW w:w="860" w:type="dxa"/>
            <w:gridSpan w:val="2"/>
            <w:vAlign w:val="center"/>
          </w:tcPr>
          <w:p w14:paraId="7AEB05D1">
            <w:pPr>
              <w:keepNext w:val="0"/>
              <w:keepLines w:val="0"/>
              <w:suppressLineNumbers w:val="0"/>
              <w:spacing w:before="0" w:beforeAutospacing="0" w:after="0" w:afterAutospacing="0"/>
              <w:ind w:left="0" w:right="0"/>
              <w:rPr>
                <w:rFonts w:hint="default" w:ascii="宋体" w:hAnsi="宋体" w:cs="宋体"/>
                <w:szCs w:val="21"/>
                <w:highlight w:val="none"/>
              </w:rPr>
            </w:pPr>
            <w:r>
              <w:rPr>
                <w:rFonts w:hint="eastAsia" w:ascii="宋体" w:hAnsi="宋体" w:cs="宋体"/>
                <w:szCs w:val="21"/>
                <w:highlight w:val="none"/>
              </w:rPr>
              <w:t> </w:t>
            </w:r>
          </w:p>
        </w:tc>
        <w:tc>
          <w:tcPr>
            <w:tcW w:w="893" w:type="dxa"/>
            <w:tcBorders>
              <w:right w:val="single" w:color="auto" w:sz="4" w:space="0"/>
            </w:tcBorders>
            <w:vAlign w:val="center"/>
          </w:tcPr>
          <w:p w14:paraId="345D2112">
            <w:pPr>
              <w:keepNext w:val="0"/>
              <w:keepLines w:val="0"/>
              <w:suppressLineNumbers w:val="0"/>
              <w:spacing w:before="0" w:beforeAutospacing="0" w:after="0" w:afterAutospacing="0"/>
              <w:ind w:left="0" w:right="0"/>
              <w:rPr>
                <w:rFonts w:hint="default" w:ascii="宋体" w:hAnsi="宋体" w:cs="宋体"/>
                <w:szCs w:val="21"/>
                <w:highlight w:val="none"/>
              </w:rPr>
            </w:pPr>
            <w:r>
              <w:rPr>
                <w:rFonts w:hint="eastAsia" w:ascii="宋体" w:hAnsi="宋体" w:cs="宋体"/>
                <w:szCs w:val="21"/>
                <w:highlight w:val="none"/>
              </w:rPr>
              <w:t> </w:t>
            </w:r>
          </w:p>
        </w:tc>
        <w:tc>
          <w:tcPr>
            <w:tcW w:w="1297" w:type="dxa"/>
            <w:tcBorders>
              <w:left w:val="single" w:color="auto" w:sz="4" w:space="0"/>
            </w:tcBorders>
            <w:vAlign w:val="center"/>
          </w:tcPr>
          <w:p w14:paraId="0B38C97F">
            <w:pPr>
              <w:keepNext w:val="0"/>
              <w:keepLines w:val="0"/>
              <w:suppressLineNumbers w:val="0"/>
              <w:spacing w:before="0" w:beforeAutospacing="0" w:after="0" w:afterAutospacing="0"/>
              <w:ind w:left="0" w:right="0"/>
              <w:rPr>
                <w:rFonts w:hint="default" w:ascii="宋体" w:hAnsi="宋体" w:cs="宋体"/>
                <w:szCs w:val="21"/>
                <w:highlight w:val="none"/>
              </w:rPr>
            </w:pPr>
          </w:p>
        </w:tc>
      </w:tr>
      <w:tr w14:paraId="2CF8C26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vAlign w:val="center"/>
          </w:tcPr>
          <w:p w14:paraId="178EE498">
            <w:pPr>
              <w:keepNext w:val="0"/>
              <w:keepLines w:val="0"/>
              <w:suppressLineNumbers w:val="0"/>
              <w:spacing w:before="0" w:beforeAutospacing="0" w:after="0" w:afterAutospacing="0"/>
              <w:ind w:left="0" w:right="0"/>
              <w:rPr>
                <w:rFonts w:hint="default" w:ascii="宋体" w:hAnsi="宋体" w:cs="宋体"/>
                <w:szCs w:val="21"/>
                <w:highlight w:val="none"/>
              </w:rPr>
            </w:pPr>
          </w:p>
        </w:tc>
        <w:tc>
          <w:tcPr>
            <w:tcW w:w="2705" w:type="dxa"/>
            <w:gridSpan w:val="2"/>
            <w:tcBorders>
              <w:left w:val="single" w:color="auto" w:sz="4" w:space="0"/>
            </w:tcBorders>
            <w:vAlign w:val="center"/>
          </w:tcPr>
          <w:p w14:paraId="79D81D46">
            <w:pPr>
              <w:keepNext w:val="0"/>
              <w:keepLines w:val="0"/>
              <w:suppressLineNumbers w:val="0"/>
              <w:spacing w:before="0" w:beforeAutospacing="0" w:after="0" w:afterAutospacing="0"/>
              <w:ind w:left="0" w:right="0"/>
              <w:rPr>
                <w:rFonts w:hint="default" w:ascii="宋体" w:hAnsi="宋体" w:cs="宋体"/>
                <w:szCs w:val="21"/>
                <w:highlight w:val="none"/>
              </w:rPr>
            </w:pPr>
            <w:r>
              <w:rPr>
                <w:rFonts w:hint="eastAsia" w:ascii="宋体" w:hAnsi="宋体" w:cs="宋体"/>
                <w:szCs w:val="21"/>
                <w:highlight w:val="none"/>
              </w:rPr>
              <w:t> </w:t>
            </w:r>
          </w:p>
        </w:tc>
        <w:tc>
          <w:tcPr>
            <w:tcW w:w="3100" w:type="dxa"/>
            <w:gridSpan w:val="2"/>
            <w:vAlign w:val="center"/>
          </w:tcPr>
          <w:p w14:paraId="1000B938">
            <w:pPr>
              <w:keepNext w:val="0"/>
              <w:keepLines w:val="0"/>
              <w:suppressLineNumbers w:val="0"/>
              <w:spacing w:before="0" w:beforeAutospacing="0" w:after="0" w:afterAutospacing="0"/>
              <w:ind w:left="0" w:right="0"/>
              <w:rPr>
                <w:rFonts w:hint="default" w:ascii="宋体" w:hAnsi="宋体" w:cs="宋体"/>
                <w:szCs w:val="21"/>
                <w:highlight w:val="none"/>
              </w:rPr>
            </w:pPr>
            <w:r>
              <w:rPr>
                <w:rFonts w:hint="eastAsia" w:ascii="宋体" w:hAnsi="宋体" w:cs="宋体"/>
                <w:szCs w:val="21"/>
                <w:highlight w:val="none"/>
              </w:rPr>
              <w:t> </w:t>
            </w:r>
          </w:p>
        </w:tc>
        <w:tc>
          <w:tcPr>
            <w:tcW w:w="860" w:type="dxa"/>
            <w:gridSpan w:val="2"/>
            <w:vAlign w:val="center"/>
          </w:tcPr>
          <w:p w14:paraId="2597B7C0">
            <w:pPr>
              <w:keepNext w:val="0"/>
              <w:keepLines w:val="0"/>
              <w:suppressLineNumbers w:val="0"/>
              <w:spacing w:before="0" w:beforeAutospacing="0" w:after="0" w:afterAutospacing="0"/>
              <w:ind w:left="0" w:right="0"/>
              <w:rPr>
                <w:rFonts w:hint="default" w:ascii="宋体" w:hAnsi="宋体" w:cs="宋体"/>
                <w:szCs w:val="21"/>
                <w:highlight w:val="none"/>
              </w:rPr>
            </w:pPr>
            <w:r>
              <w:rPr>
                <w:rFonts w:hint="eastAsia" w:ascii="宋体" w:hAnsi="宋体" w:cs="宋体"/>
                <w:szCs w:val="21"/>
                <w:highlight w:val="none"/>
              </w:rPr>
              <w:t> </w:t>
            </w:r>
          </w:p>
        </w:tc>
        <w:tc>
          <w:tcPr>
            <w:tcW w:w="893" w:type="dxa"/>
            <w:tcBorders>
              <w:right w:val="single" w:color="auto" w:sz="4" w:space="0"/>
            </w:tcBorders>
            <w:vAlign w:val="center"/>
          </w:tcPr>
          <w:p w14:paraId="6773E4D3">
            <w:pPr>
              <w:keepNext w:val="0"/>
              <w:keepLines w:val="0"/>
              <w:suppressLineNumbers w:val="0"/>
              <w:spacing w:before="0" w:beforeAutospacing="0" w:after="0" w:afterAutospacing="0"/>
              <w:ind w:left="0" w:right="0"/>
              <w:rPr>
                <w:rFonts w:hint="default" w:ascii="宋体" w:hAnsi="宋体" w:cs="宋体"/>
                <w:szCs w:val="21"/>
                <w:highlight w:val="none"/>
              </w:rPr>
            </w:pPr>
            <w:r>
              <w:rPr>
                <w:rFonts w:hint="eastAsia" w:ascii="宋体" w:hAnsi="宋体" w:cs="宋体"/>
                <w:szCs w:val="21"/>
                <w:highlight w:val="none"/>
              </w:rPr>
              <w:t> </w:t>
            </w:r>
          </w:p>
        </w:tc>
        <w:tc>
          <w:tcPr>
            <w:tcW w:w="1297" w:type="dxa"/>
            <w:tcBorders>
              <w:left w:val="single" w:color="auto" w:sz="4" w:space="0"/>
            </w:tcBorders>
            <w:vAlign w:val="center"/>
          </w:tcPr>
          <w:p w14:paraId="7E312DF0">
            <w:pPr>
              <w:keepNext w:val="0"/>
              <w:keepLines w:val="0"/>
              <w:suppressLineNumbers w:val="0"/>
              <w:spacing w:before="0" w:beforeAutospacing="0" w:after="0" w:afterAutospacing="0"/>
              <w:ind w:left="0" w:right="0"/>
              <w:rPr>
                <w:rFonts w:hint="default" w:ascii="宋体" w:hAnsi="宋体" w:cs="宋体"/>
                <w:szCs w:val="21"/>
                <w:highlight w:val="none"/>
              </w:rPr>
            </w:pPr>
          </w:p>
        </w:tc>
      </w:tr>
      <w:tr w14:paraId="52F0B8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vAlign w:val="center"/>
          </w:tcPr>
          <w:p w14:paraId="71D8C720">
            <w:pPr>
              <w:keepNext w:val="0"/>
              <w:keepLines w:val="0"/>
              <w:suppressLineNumbers w:val="0"/>
              <w:spacing w:before="0" w:beforeAutospacing="0" w:after="0" w:afterAutospacing="0"/>
              <w:ind w:left="0" w:right="0"/>
              <w:rPr>
                <w:rFonts w:hint="default" w:ascii="宋体" w:hAnsi="宋体" w:cs="宋体"/>
                <w:szCs w:val="21"/>
                <w:highlight w:val="none"/>
              </w:rPr>
            </w:pPr>
          </w:p>
        </w:tc>
        <w:tc>
          <w:tcPr>
            <w:tcW w:w="2705" w:type="dxa"/>
            <w:gridSpan w:val="2"/>
            <w:tcBorders>
              <w:left w:val="single" w:color="auto" w:sz="4" w:space="0"/>
            </w:tcBorders>
            <w:vAlign w:val="center"/>
          </w:tcPr>
          <w:p w14:paraId="7E4C01E7">
            <w:pPr>
              <w:keepNext w:val="0"/>
              <w:keepLines w:val="0"/>
              <w:suppressLineNumbers w:val="0"/>
              <w:spacing w:before="0" w:beforeAutospacing="0" w:after="0" w:afterAutospacing="0"/>
              <w:ind w:left="0" w:right="0"/>
              <w:rPr>
                <w:rFonts w:hint="default" w:ascii="宋体" w:hAnsi="宋体" w:cs="宋体"/>
                <w:szCs w:val="21"/>
                <w:highlight w:val="none"/>
              </w:rPr>
            </w:pPr>
          </w:p>
        </w:tc>
        <w:tc>
          <w:tcPr>
            <w:tcW w:w="3100" w:type="dxa"/>
            <w:gridSpan w:val="2"/>
            <w:vAlign w:val="center"/>
          </w:tcPr>
          <w:p w14:paraId="386F907D">
            <w:pPr>
              <w:keepNext w:val="0"/>
              <w:keepLines w:val="0"/>
              <w:suppressLineNumbers w:val="0"/>
              <w:spacing w:before="0" w:beforeAutospacing="0" w:after="0" w:afterAutospacing="0"/>
              <w:ind w:left="0" w:right="0"/>
              <w:rPr>
                <w:rFonts w:hint="default" w:ascii="宋体" w:hAnsi="宋体" w:cs="宋体"/>
                <w:szCs w:val="21"/>
                <w:highlight w:val="none"/>
              </w:rPr>
            </w:pPr>
          </w:p>
        </w:tc>
        <w:tc>
          <w:tcPr>
            <w:tcW w:w="860" w:type="dxa"/>
            <w:gridSpan w:val="2"/>
            <w:vAlign w:val="center"/>
          </w:tcPr>
          <w:p w14:paraId="688E8C39">
            <w:pPr>
              <w:keepNext w:val="0"/>
              <w:keepLines w:val="0"/>
              <w:suppressLineNumbers w:val="0"/>
              <w:spacing w:before="0" w:beforeAutospacing="0" w:after="0" w:afterAutospacing="0"/>
              <w:ind w:left="0" w:right="0"/>
              <w:rPr>
                <w:rFonts w:hint="default" w:ascii="宋体" w:hAnsi="宋体" w:cs="宋体"/>
                <w:szCs w:val="21"/>
                <w:highlight w:val="none"/>
              </w:rPr>
            </w:pPr>
          </w:p>
        </w:tc>
        <w:tc>
          <w:tcPr>
            <w:tcW w:w="893" w:type="dxa"/>
            <w:tcBorders>
              <w:right w:val="single" w:color="auto" w:sz="4" w:space="0"/>
            </w:tcBorders>
            <w:vAlign w:val="center"/>
          </w:tcPr>
          <w:p w14:paraId="7DDF96C9">
            <w:pPr>
              <w:keepNext w:val="0"/>
              <w:keepLines w:val="0"/>
              <w:suppressLineNumbers w:val="0"/>
              <w:spacing w:before="0" w:beforeAutospacing="0" w:after="0" w:afterAutospacing="0"/>
              <w:ind w:left="0" w:right="0"/>
              <w:rPr>
                <w:rFonts w:hint="default" w:ascii="宋体" w:hAnsi="宋体" w:cs="宋体"/>
                <w:szCs w:val="21"/>
                <w:highlight w:val="none"/>
              </w:rPr>
            </w:pPr>
          </w:p>
        </w:tc>
        <w:tc>
          <w:tcPr>
            <w:tcW w:w="1297" w:type="dxa"/>
            <w:tcBorders>
              <w:left w:val="single" w:color="auto" w:sz="4" w:space="0"/>
            </w:tcBorders>
            <w:vAlign w:val="center"/>
          </w:tcPr>
          <w:p w14:paraId="7BBAC223">
            <w:pPr>
              <w:keepNext w:val="0"/>
              <w:keepLines w:val="0"/>
              <w:suppressLineNumbers w:val="0"/>
              <w:spacing w:before="0" w:beforeAutospacing="0" w:after="0" w:afterAutospacing="0"/>
              <w:ind w:left="0" w:right="0"/>
              <w:rPr>
                <w:rFonts w:hint="default" w:ascii="宋体" w:hAnsi="宋体" w:cs="宋体"/>
                <w:szCs w:val="21"/>
                <w:highlight w:val="none"/>
              </w:rPr>
            </w:pPr>
          </w:p>
        </w:tc>
      </w:tr>
      <w:tr w14:paraId="5108352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6397" w:type="dxa"/>
            <w:gridSpan w:val="5"/>
            <w:vAlign w:val="center"/>
          </w:tcPr>
          <w:p w14:paraId="02F5D11E">
            <w:pPr>
              <w:keepNext w:val="0"/>
              <w:keepLines w:val="0"/>
              <w:suppressLineNumbers w:val="0"/>
              <w:spacing w:before="0" w:beforeAutospacing="0" w:after="0" w:afterAutospacing="0"/>
              <w:ind w:left="0" w:right="0"/>
              <w:rPr>
                <w:rFonts w:hint="default" w:ascii="宋体" w:hAnsi="宋体" w:cs="宋体"/>
                <w:szCs w:val="21"/>
                <w:highlight w:val="none"/>
              </w:rPr>
            </w:pPr>
            <w:r>
              <w:rPr>
                <w:rFonts w:hint="eastAsia" w:ascii="宋体" w:hAnsi="宋体" w:cs="宋体"/>
                <w:szCs w:val="21"/>
                <w:highlight w:val="none"/>
              </w:rPr>
              <w:t>合     计</w:t>
            </w:r>
          </w:p>
        </w:tc>
        <w:tc>
          <w:tcPr>
            <w:tcW w:w="860" w:type="dxa"/>
            <w:gridSpan w:val="2"/>
            <w:vAlign w:val="center"/>
          </w:tcPr>
          <w:p w14:paraId="02FB8128">
            <w:pPr>
              <w:keepNext w:val="0"/>
              <w:keepLines w:val="0"/>
              <w:suppressLineNumbers w:val="0"/>
              <w:spacing w:before="0" w:beforeAutospacing="0" w:after="0" w:afterAutospacing="0"/>
              <w:ind w:left="0" w:right="0"/>
              <w:rPr>
                <w:rFonts w:hint="default" w:ascii="宋体" w:hAnsi="宋体" w:cs="宋体"/>
                <w:szCs w:val="21"/>
                <w:highlight w:val="none"/>
              </w:rPr>
            </w:pPr>
          </w:p>
        </w:tc>
        <w:tc>
          <w:tcPr>
            <w:tcW w:w="893" w:type="dxa"/>
            <w:tcBorders>
              <w:right w:val="single" w:color="auto" w:sz="4" w:space="0"/>
            </w:tcBorders>
            <w:vAlign w:val="center"/>
          </w:tcPr>
          <w:p w14:paraId="6399630D">
            <w:pPr>
              <w:keepNext w:val="0"/>
              <w:keepLines w:val="0"/>
              <w:suppressLineNumbers w:val="0"/>
              <w:spacing w:before="0" w:beforeAutospacing="0" w:after="0" w:afterAutospacing="0"/>
              <w:ind w:left="0" w:right="0"/>
              <w:rPr>
                <w:rFonts w:hint="default" w:ascii="宋体" w:hAnsi="宋体" w:cs="宋体"/>
                <w:szCs w:val="21"/>
                <w:highlight w:val="none"/>
              </w:rPr>
            </w:pPr>
          </w:p>
        </w:tc>
        <w:tc>
          <w:tcPr>
            <w:tcW w:w="1297" w:type="dxa"/>
            <w:tcBorders>
              <w:left w:val="single" w:color="auto" w:sz="4" w:space="0"/>
            </w:tcBorders>
            <w:vAlign w:val="center"/>
          </w:tcPr>
          <w:p w14:paraId="6F7B3C02">
            <w:pPr>
              <w:keepNext w:val="0"/>
              <w:keepLines w:val="0"/>
              <w:suppressLineNumbers w:val="0"/>
              <w:spacing w:before="0" w:beforeAutospacing="0" w:after="0" w:afterAutospacing="0"/>
              <w:ind w:left="0" w:right="0"/>
              <w:rPr>
                <w:rFonts w:hint="default" w:ascii="宋体" w:hAnsi="宋体" w:cs="宋体"/>
                <w:szCs w:val="21"/>
                <w:highlight w:val="none"/>
              </w:rPr>
            </w:pPr>
          </w:p>
        </w:tc>
      </w:tr>
      <w:tr w14:paraId="62B5AAF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9447" w:type="dxa"/>
            <w:gridSpan w:val="9"/>
            <w:vAlign w:val="center"/>
          </w:tcPr>
          <w:p w14:paraId="4DD710CA">
            <w:pPr>
              <w:keepNext w:val="0"/>
              <w:keepLines w:val="0"/>
              <w:suppressLineNumbers w:val="0"/>
              <w:spacing w:before="0" w:beforeAutospacing="0" w:after="0" w:afterAutospacing="0"/>
              <w:ind w:left="0" w:right="0"/>
              <w:rPr>
                <w:rFonts w:hint="default" w:ascii="宋体" w:hAnsi="宋体" w:cs="宋体"/>
                <w:szCs w:val="21"/>
                <w:highlight w:val="none"/>
              </w:rPr>
            </w:pPr>
            <w:r>
              <w:rPr>
                <w:rFonts w:hint="eastAsia" w:ascii="宋体" w:hAnsi="宋体" w:cs="宋体"/>
                <w:szCs w:val="21"/>
                <w:highlight w:val="none"/>
              </w:rPr>
              <w:t>合 计 大 写 金 额 ：人民币                             元</w:t>
            </w:r>
          </w:p>
        </w:tc>
      </w:tr>
      <w:tr w14:paraId="67BDE66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80" w:hRule="atLeast"/>
          <w:jc w:val="center"/>
        </w:trPr>
        <w:tc>
          <w:tcPr>
            <w:tcW w:w="1336" w:type="dxa"/>
            <w:gridSpan w:val="2"/>
            <w:vAlign w:val="center"/>
          </w:tcPr>
          <w:p w14:paraId="7C229524">
            <w:pPr>
              <w:keepNext w:val="0"/>
              <w:keepLines w:val="0"/>
              <w:suppressLineNumbers w:val="0"/>
              <w:spacing w:before="0" w:beforeAutospacing="0" w:after="0" w:afterAutospacing="0"/>
              <w:ind w:left="0" w:right="0"/>
              <w:rPr>
                <w:rFonts w:hint="default" w:ascii="宋体" w:hAnsi="宋体" w:cs="宋体"/>
                <w:szCs w:val="21"/>
                <w:highlight w:val="none"/>
              </w:rPr>
            </w:pPr>
            <w:r>
              <w:rPr>
                <w:rFonts w:hint="eastAsia" w:ascii="宋体" w:hAnsi="宋体" w:cs="宋体"/>
                <w:szCs w:val="21"/>
                <w:highlight w:val="none"/>
              </w:rPr>
              <w:t>实际供货日期</w:t>
            </w:r>
          </w:p>
        </w:tc>
        <w:tc>
          <w:tcPr>
            <w:tcW w:w="3239" w:type="dxa"/>
            <w:gridSpan w:val="2"/>
            <w:vAlign w:val="center"/>
          </w:tcPr>
          <w:p w14:paraId="538EB9CF">
            <w:pPr>
              <w:keepNext w:val="0"/>
              <w:keepLines w:val="0"/>
              <w:suppressLineNumbers w:val="0"/>
              <w:spacing w:before="0" w:beforeAutospacing="0" w:after="0" w:afterAutospacing="0"/>
              <w:ind w:left="0" w:right="0"/>
              <w:rPr>
                <w:rFonts w:hint="default" w:ascii="宋体" w:hAnsi="宋体" w:cs="宋体"/>
                <w:szCs w:val="21"/>
                <w:highlight w:val="none"/>
              </w:rPr>
            </w:pPr>
          </w:p>
        </w:tc>
        <w:tc>
          <w:tcPr>
            <w:tcW w:w="1835" w:type="dxa"/>
            <w:gridSpan w:val="2"/>
            <w:vAlign w:val="center"/>
          </w:tcPr>
          <w:p w14:paraId="226F6EAF">
            <w:pPr>
              <w:keepNext w:val="0"/>
              <w:keepLines w:val="0"/>
              <w:suppressLineNumbers w:val="0"/>
              <w:spacing w:before="0" w:beforeAutospacing="0" w:after="0" w:afterAutospacing="0"/>
              <w:ind w:left="0" w:right="0"/>
              <w:rPr>
                <w:rFonts w:hint="default" w:ascii="宋体" w:hAnsi="宋体" w:cs="宋体"/>
                <w:szCs w:val="21"/>
                <w:highlight w:val="none"/>
              </w:rPr>
            </w:pPr>
            <w:r>
              <w:rPr>
                <w:rFonts w:hint="eastAsia" w:ascii="宋体" w:hAnsi="宋体" w:cs="宋体"/>
                <w:szCs w:val="21"/>
                <w:highlight w:val="none"/>
              </w:rPr>
              <w:t>合同交货验收日期</w:t>
            </w:r>
          </w:p>
        </w:tc>
        <w:tc>
          <w:tcPr>
            <w:tcW w:w="3037" w:type="dxa"/>
            <w:gridSpan w:val="3"/>
            <w:vAlign w:val="center"/>
          </w:tcPr>
          <w:p w14:paraId="6C033831">
            <w:pPr>
              <w:keepNext w:val="0"/>
              <w:keepLines w:val="0"/>
              <w:suppressLineNumbers w:val="0"/>
              <w:spacing w:before="0" w:beforeAutospacing="0" w:after="0" w:afterAutospacing="0"/>
              <w:ind w:left="0" w:right="0"/>
              <w:rPr>
                <w:rFonts w:hint="default" w:ascii="宋体" w:hAnsi="宋体" w:cs="宋体"/>
                <w:szCs w:val="21"/>
                <w:highlight w:val="none"/>
              </w:rPr>
            </w:pPr>
          </w:p>
        </w:tc>
      </w:tr>
      <w:tr w14:paraId="628EE66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1336" w:type="dxa"/>
            <w:gridSpan w:val="2"/>
            <w:tcMar>
              <w:top w:w="0" w:type="dxa"/>
              <w:left w:w="108" w:type="dxa"/>
              <w:bottom w:w="0" w:type="dxa"/>
              <w:right w:w="108" w:type="dxa"/>
            </w:tcMar>
            <w:vAlign w:val="center"/>
          </w:tcPr>
          <w:p w14:paraId="2F8524D4">
            <w:pPr>
              <w:keepNext w:val="0"/>
              <w:keepLines w:val="0"/>
              <w:suppressLineNumbers w:val="0"/>
              <w:spacing w:before="0" w:beforeAutospacing="0" w:after="0" w:afterAutospacing="0"/>
              <w:ind w:left="0" w:right="0"/>
              <w:rPr>
                <w:rFonts w:hint="default" w:ascii="宋体" w:hAnsi="宋体" w:cs="宋体"/>
                <w:szCs w:val="21"/>
                <w:highlight w:val="none"/>
              </w:rPr>
            </w:pPr>
            <w:r>
              <w:rPr>
                <w:rFonts w:hint="eastAsia" w:ascii="宋体" w:hAnsi="宋体" w:cs="宋体"/>
                <w:szCs w:val="21"/>
                <w:highlight w:val="none"/>
              </w:rPr>
              <w:t>验收具体内容</w:t>
            </w:r>
          </w:p>
        </w:tc>
        <w:tc>
          <w:tcPr>
            <w:tcW w:w="8111" w:type="dxa"/>
            <w:gridSpan w:val="7"/>
            <w:tcMar>
              <w:top w:w="0" w:type="dxa"/>
              <w:left w:w="108" w:type="dxa"/>
              <w:bottom w:w="0" w:type="dxa"/>
              <w:right w:w="108" w:type="dxa"/>
            </w:tcMar>
            <w:vAlign w:val="center"/>
          </w:tcPr>
          <w:p w14:paraId="1DC17811">
            <w:pPr>
              <w:keepNext w:val="0"/>
              <w:keepLines w:val="0"/>
              <w:suppressLineNumbers w:val="0"/>
              <w:spacing w:before="0" w:beforeAutospacing="0" w:after="0" w:afterAutospacing="0"/>
              <w:ind w:left="0" w:right="0"/>
              <w:rPr>
                <w:rFonts w:hint="default" w:ascii="宋体" w:hAnsi="宋体" w:cs="宋体"/>
                <w:szCs w:val="21"/>
                <w:highlight w:val="none"/>
              </w:rPr>
            </w:pPr>
            <w:r>
              <w:rPr>
                <w:rFonts w:hint="eastAsia" w:ascii="宋体" w:hAnsi="宋体" w:cs="宋体"/>
                <w:szCs w:val="21"/>
                <w:highlight w:val="none"/>
              </w:rPr>
              <w:t> (应按采购合同、采购文件、投标响应文件及验收方案等进行验收；并核对中标或成交供应商在安装调试等方面是否违反合同约定或服务规范要求、提供的质量保证证明材料是否齐全、应有的配件及附件是否达到合同约定等。可附件)</w:t>
            </w:r>
          </w:p>
        </w:tc>
      </w:tr>
      <w:tr w14:paraId="77DCC41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75" w:hRule="atLeast"/>
          <w:jc w:val="center"/>
        </w:trPr>
        <w:tc>
          <w:tcPr>
            <w:tcW w:w="1336" w:type="dxa"/>
            <w:gridSpan w:val="2"/>
            <w:vMerge w:val="restart"/>
            <w:tcMar>
              <w:top w:w="0" w:type="dxa"/>
              <w:left w:w="108" w:type="dxa"/>
              <w:bottom w:w="0" w:type="dxa"/>
              <w:right w:w="108" w:type="dxa"/>
            </w:tcMar>
            <w:vAlign w:val="center"/>
          </w:tcPr>
          <w:p w14:paraId="65F6508C">
            <w:pPr>
              <w:keepNext w:val="0"/>
              <w:keepLines w:val="0"/>
              <w:suppressLineNumbers w:val="0"/>
              <w:spacing w:before="0" w:beforeAutospacing="0" w:after="0" w:afterAutospacing="0"/>
              <w:ind w:left="0" w:right="0"/>
              <w:rPr>
                <w:rFonts w:hint="default" w:ascii="宋体" w:hAnsi="宋体" w:cs="宋体"/>
                <w:szCs w:val="21"/>
                <w:highlight w:val="none"/>
              </w:rPr>
            </w:pPr>
            <w:r>
              <w:rPr>
                <w:rFonts w:hint="eastAsia" w:ascii="宋体" w:hAnsi="宋体" w:cs="宋体"/>
                <w:szCs w:val="21"/>
                <w:highlight w:val="none"/>
              </w:rPr>
              <w:t>验收小组意见</w:t>
            </w:r>
          </w:p>
        </w:tc>
        <w:tc>
          <w:tcPr>
            <w:tcW w:w="8111" w:type="dxa"/>
            <w:gridSpan w:val="7"/>
            <w:tcBorders>
              <w:bottom w:val="single" w:color="auto" w:sz="4" w:space="0"/>
            </w:tcBorders>
            <w:vAlign w:val="center"/>
          </w:tcPr>
          <w:p w14:paraId="78F9E6C1">
            <w:pPr>
              <w:keepNext w:val="0"/>
              <w:keepLines w:val="0"/>
              <w:suppressLineNumbers w:val="0"/>
              <w:spacing w:before="0" w:beforeAutospacing="0" w:after="0" w:afterAutospacing="0"/>
              <w:ind w:left="0" w:right="0"/>
              <w:rPr>
                <w:rFonts w:hint="default" w:ascii="宋体" w:hAnsi="宋体" w:cs="宋体"/>
                <w:szCs w:val="21"/>
                <w:highlight w:val="none"/>
              </w:rPr>
            </w:pPr>
            <w:r>
              <w:rPr>
                <w:rFonts w:hint="eastAsia" w:ascii="宋体" w:hAnsi="宋体" w:cs="宋体"/>
                <w:szCs w:val="21"/>
                <w:highlight w:val="none"/>
              </w:rPr>
              <w:t>验收结论性意见：</w:t>
            </w:r>
          </w:p>
          <w:p w14:paraId="042F1810">
            <w:pPr>
              <w:keepNext w:val="0"/>
              <w:keepLines w:val="0"/>
              <w:suppressLineNumbers w:val="0"/>
              <w:spacing w:before="0" w:beforeAutospacing="0" w:after="0" w:afterAutospacing="0"/>
              <w:ind w:left="0" w:right="0"/>
              <w:rPr>
                <w:rFonts w:hint="default" w:ascii="宋体" w:hAnsi="宋体" w:cs="宋体"/>
                <w:szCs w:val="21"/>
                <w:highlight w:val="none"/>
              </w:rPr>
            </w:pPr>
          </w:p>
          <w:p w14:paraId="6887C600">
            <w:pPr>
              <w:keepNext w:val="0"/>
              <w:keepLines w:val="0"/>
              <w:suppressLineNumbers w:val="0"/>
              <w:spacing w:before="0" w:beforeAutospacing="0" w:after="0" w:afterAutospacing="0"/>
              <w:ind w:left="0" w:right="0"/>
              <w:rPr>
                <w:rFonts w:hint="default" w:ascii="宋体" w:hAnsi="宋体" w:cs="宋体"/>
                <w:szCs w:val="21"/>
                <w:highlight w:val="none"/>
              </w:rPr>
            </w:pPr>
          </w:p>
        </w:tc>
      </w:tr>
      <w:tr w14:paraId="2F0F596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58" w:hRule="atLeast"/>
          <w:jc w:val="center"/>
        </w:trPr>
        <w:tc>
          <w:tcPr>
            <w:tcW w:w="1336" w:type="dxa"/>
            <w:gridSpan w:val="2"/>
            <w:vMerge w:val="continue"/>
            <w:tcMar>
              <w:top w:w="0" w:type="dxa"/>
              <w:left w:w="108" w:type="dxa"/>
              <w:bottom w:w="0" w:type="dxa"/>
              <w:right w:w="108" w:type="dxa"/>
            </w:tcMar>
            <w:vAlign w:val="center"/>
          </w:tcPr>
          <w:p w14:paraId="389CEFD8">
            <w:pPr>
              <w:keepNext w:val="0"/>
              <w:keepLines w:val="0"/>
              <w:suppressLineNumbers w:val="0"/>
              <w:spacing w:before="0" w:beforeAutospacing="0" w:after="0" w:afterAutospacing="0"/>
              <w:ind w:left="0" w:right="0"/>
              <w:rPr>
                <w:rFonts w:hint="default" w:ascii="宋体" w:hAnsi="宋体" w:cs="宋体"/>
                <w:szCs w:val="21"/>
                <w:highlight w:val="none"/>
              </w:rPr>
            </w:pPr>
          </w:p>
        </w:tc>
        <w:tc>
          <w:tcPr>
            <w:tcW w:w="8111" w:type="dxa"/>
            <w:gridSpan w:val="7"/>
            <w:tcBorders>
              <w:top w:val="single" w:color="auto" w:sz="4" w:space="0"/>
            </w:tcBorders>
            <w:vAlign w:val="center"/>
          </w:tcPr>
          <w:p w14:paraId="20825673">
            <w:pPr>
              <w:keepNext w:val="0"/>
              <w:keepLines w:val="0"/>
              <w:suppressLineNumbers w:val="0"/>
              <w:spacing w:before="0" w:beforeAutospacing="0" w:after="0" w:afterAutospacing="0"/>
              <w:ind w:left="0" w:right="0"/>
              <w:rPr>
                <w:rFonts w:hint="default" w:ascii="宋体" w:hAnsi="宋体" w:cs="宋体"/>
                <w:szCs w:val="21"/>
                <w:highlight w:val="none"/>
              </w:rPr>
            </w:pPr>
            <w:r>
              <w:rPr>
                <w:rFonts w:hint="eastAsia" w:ascii="宋体" w:hAnsi="宋体" w:cs="宋体"/>
                <w:szCs w:val="21"/>
                <w:highlight w:val="none"/>
              </w:rPr>
              <w:t>有异议的意见和说明理由：</w:t>
            </w:r>
          </w:p>
          <w:p w14:paraId="709D49D9">
            <w:pPr>
              <w:keepNext w:val="0"/>
              <w:keepLines w:val="0"/>
              <w:suppressLineNumbers w:val="0"/>
              <w:spacing w:before="0" w:beforeAutospacing="0" w:after="0" w:afterAutospacing="0"/>
              <w:ind w:left="0" w:right="0"/>
              <w:rPr>
                <w:rFonts w:hint="default" w:ascii="宋体" w:hAnsi="宋体" w:cs="宋体"/>
                <w:szCs w:val="21"/>
                <w:highlight w:val="none"/>
              </w:rPr>
            </w:pPr>
          </w:p>
          <w:p w14:paraId="68E24140">
            <w:pPr>
              <w:keepNext w:val="0"/>
              <w:keepLines w:val="0"/>
              <w:suppressLineNumbers w:val="0"/>
              <w:spacing w:before="0" w:beforeAutospacing="0" w:after="0" w:afterAutospacing="0"/>
              <w:ind w:left="0" w:right="0"/>
              <w:rPr>
                <w:rFonts w:hint="default" w:ascii="宋体" w:hAnsi="宋体" w:cs="宋体"/>
                <w:szCs w:val="21"/>
                <w:highlight w:val="none"/>
              </w:rPr>
            </w:pPr>
          </w:p>
        </w:tc>
      </w:tr>
      <w:tr w14:paraId="5F74174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22" w:hRule="atLeast"/>
          <w:jc w:val="center"/>
        </w:trPr>
        <w:tc>
          <w:tcPr>
            <w:tcW w:w="9447" w:type="dxa"/>
            <w:gridSpan w:val="9"/>
            <w:tcMar>
              <w:top w:w="0" w:type="dxa"/>
              <w:left w:w="108" w:type="dxa"/>
              <w:bottom w:w="0" w:type="dxa"/>
              <w:right w:w="108" w:type="dxa"/>
            </w:tcMar>
            <w:vAlign w:val="center"/>
          </w:tcPr>
          <w:p w14:paraId="73090D7B">
            <w:pPr>
              <w:keepNext w:val="0"/>
              <w:keepLines w:val="0"/>
              <w:suppressLineNumbers w:val="0"/>
              <w:spacing w:before="0" w:beforeAutospacing="0" w:after="0" w:afterAutospacing="0"/>
              <w:ind w:left="0" w:right="0"/>
              <w:rPr>
                <w:rFonts w:hint="default" w:ascii="宋体" w:hAnsi="宋体" w:cs="宋体"/>
                <w:szCs w:val="21"/>
                <w:highlight w:val="none"/>
              </w:rPr>
            </w:pPr>
            <w:r>
              <w:rPr>
                <w:rFonts w:hint="eastAsia" w:ascii="宋体" w:hAnsi="宋体" w:cs="宋体"/>
                <w:szCs w:val="21"/>
                <w:highlight w:val="none"/>
              </w:rPr>
              <w:t>验收小组成员签字：</w:t>
            </w:r>
          </w:p>
        </w:tc>
      </w:tr>
      <w:tr w14:paraId="458FFCF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50" w:hRule="atLeast"/>
          <w:jc w:val="center"/>
        </w:trPr>
        <w:tc>
          <w:tcPr>
            <w:tcW w:w="9447" w:type="dxa"/>
            <w:gridSpan w:val="9"/>
            <w:tcMar>
              <w:top w:w="0" w:type="dxa"/>
              <w:left w:w="108" w:type="dxa"/>
              <w:bottom w:w="0" w:type="dxa"/>
              <w:right w:w="108" w:type="dxa"/>
            </w:tcMar>
            <w:vAlign w:val="center"/>
          </w:tcPr>
          <w:p w14:paraId="0D5BDD10">
            <w:pPr>
              <w:keepNext w:val="0"/>
              <w:keepLines w:val="0"/>
              <w:suppressLineNumbers w:val="0"/>
              <w:spacing w:before="0" w:beforeAutospacing="0" w:after="0" w:afterAutospacing="0"/>
              <w:ind w:left="0" w:right="0"/>
              <w:rPr>
                <w:rFonts w:hint="default" w:ascii="宋体" w:hAnsi="宋体" w:cs="宋体"/>
                <w:szCs w:val="21"/>
                <w:highlight w:val="none"/>
              </w:rPr>
            </w:pPr>
            <w:r>
              <w:rPr>
                <w:rFonts w:hint="eastAsia" w:ascii="宋体" w:hAnsi="宋体" w:cs="宋体"/>
                <w:szCs w:val="21"/>
                <w:highlight w:val="none"/>
              </w:rPr>
              <w:t>参与验收其他或监督人员签字：</w:t>
            </w:r>
          </w:p>
        </w:tc>
      </w:tr>
      <w:tr w14:paraId="37AB0E4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84" w:hRule="atLeast"/>
          <w:jc w:val="center"/>
        </w:trPr>
        <w:tc>
          <w:tcPr>
            <w:tcW w:w="4575" w:type="dxa"/>
            <w:gridSpan w:val="4"/>
            <w:tcMar>
              <w:top w:w="0" w:type="dxa"/>
              <w:left w:w="108" w:type="dxa"/>
              <w:bottom w:w="0" w:type="dxa"/>
              <w:right w:w="108" w:type="dxa"/>
            </w:tcMar>
            <w:vAlign w:val="center"/>
          </w:tcPr>
          <w:p w14:paraId="1213179F">
            <w:pPr>
              <w:keepNext w:val="0"/>
              <w:keepLines w:val="0"/>
              <w:suppressLineNumbers w:val="0"/>
              <w:spacing w:before="0" w:beforeAutospacing="0" w:after="0" w:afterAutospacing="0"/>
              <w:ind w:left="0" w:right="0"/>
              <w:rPr>
                <w:rFonts w:hint="default" w:ascii="宋体" w:hAnsi="宋体" w:cs="宋体"/>
                <w:szCs w:val="21"/>
                <w:highlight w:val="none"/>
              </w:rPr>
            </w:pPr>
            <w:r>
              <w:rPr>
                <w:rFonts w:hint="eastAsia" w:ascii="宋体" w:hAnsi="宋体" w:cs="宋体"/>
                <w:szCs w:val="21"/>
                <w:highlight w:val="none"/>
              </w:rPr>
              <w:t>中标（或成交）供应商签字或盖章：</w:t>
            </w:r>
          </w:p>
          <w:p w14:paraId="5EAF1DBF">
            <w:pPr>
              <w:keepNext w:val="0"/>
              <w:keepLines w:val="0"/>
              <w:suppressLineNumbers w:val="0"/>
              <w:spacing w:before="0" w:beforeAutospacing="0" w:after="0" w:afterAutospacing="0"/>
              <w:ind w:left="0" w:right="0"/>
              <w:rPr>
                <w:rFonts w:hint="default" w:ascii="宋体" w:hAnsi="宋体" w:cs="宋体"/>
                <w:szCs w:val="21"/>
                <w:highlight w:val="none"/>
              </w:rPr>
            </w:pPr>
          </w:p>
          <w:p w14:paraId="71C9CE59">
            <w:pPr>
              <w:keepNext w:val="0"/>
              <w:keepLines w:val="0"/>
              <w:suppressLineNumbers w:val="0"/>
              <w:spacing w:before="0" w:beforeAutospacing="0" w:after="0" w:afterAutospacing="0"/>
              <w:ind w:left="0" w:right="0"/>
              <w:rPr>
                <w:rFonts w:hint="default" w:ascii="宋体" w:hAnsi="宋体" w:cs="宋体"/>
                <w:szCs w:val="21"/>
                <w:highlight w:val="none"/>
              </w:rPr>
            </w:pPr>
            <w:r>
              <w:rPr>
                <w:rFonts w:hint="eastAsia" w:ascii="宋体" w:hAnsi="宋体" w:cs="宋体"/>
                <w:szCs w:val="21"/>
                <w:highlight w:val="none"/>
              </w:rPr>
              <w:t>联系电话：</w:t>
            </w:r>
          </w:p>
          <w:p w14:paraId="70C4BC59">
            <w:pPr>
              <w:keepNext w:val="0"/>
              <w:keepLines w:val="0"/>
              <w:suppressLineNumbers w:val="0"/>
              <w:spacing w:before="0" w:beforeAutospacing="0" w:after="0" w:afterAutospacing="0"/>
              <w:ind w:left="0" w:right="0"/>
              <w:rPr>
                <w:rFonts w:hint="default" w:ascii="宋体" w:hAnsi="宋体" w:cs="宋体"/>
                <w:szCs w:val="21"/>
                <w:highlight w:val="none"/>
              </w:rPr>
            </w:pPr>
          </w:p>
          <w:p w14:paraId="028C520F">
            <w:pPr>
              <w:keepNext w:val="0"/>
              <w:keepLines w:val="0"/>
              <w:suppressLineNumbers w:val="0"/>
              <w:spacing w:before="0" w:beforeAutospacing="0" w:after="0" w:afterAutospacing="0"/>
              <w:ind w:left="0" w:right="0"/>
              <w:rPr>
                <w:rFonts w:hint="default" w:ascii="宋体" w:hAnsi="宋体" w:cs="宋体"/>
                <w:szCs w:val="21"/>
                <w:highlight w:val="none"/>
              </w:rPr>
            </w:pPr>
            <w:r>
              <w:rPr>
                <w:rFonts w:hint="eastAsia" w:ascii="宋体" w:hAnsi="宋体" w:cs="宋体"/>
                <w:szCs w:val="21"/>
                <w:highlight w:val="none"/>
              </w:rPr>
              <w:t>                    年  月   日</w:t>
            </w:r>
          </w:p>
        </w:tc>
        <w:tc>
          <w:tcPr>
            <w:tcW w:w="4872" w:type="dxa"/>
            <w:gridSpan w:val="5"/>
            <w:vAlign w:val="center"/>
          </w:tcPr>
          <w:p w14:paraId="7900ED9B">
            <w:pPr>
              <w:keepNext w:val="0"/>
              <w:keepLines w:val="0"/>
              <w:suppressLineNumbers w:val="0"/>
              <w:spacing w:before="0" w:beforeAutospacing="0" w:after="0" w:afterAutospacing="0"/>
              <w:ind w:left="0" w:right="0"/>
              <w:rPr>
                <w:rFonts w:hint="default" w:ascii="宋体" w:hAnsi="宋体" w:cs="宋体"/>
                <w:szCs w:val="21"/>
                <w:highlight w:val="none"/>
              </w:rPr>
            </w:pPr>
            <w:r>
              <w:rPr>
                <w:rFonts w:hint="eastAsia" w:ascii="宋体" w:hAnsi="宋体" w:cs="宋体"/>
                <w:szCs w:val="21"/>
                <w:highlight w:val="none"/>
              </w:rPr>
              <w:t>采购人的意见（盖章）：</w:t>
            </w:r>
          </w:p>
          <w:p w14:paraId="1C0C130E">
            <w:pPr>
              <w:keepNext w:val="0"/>
              <w:keepLines w:val="0"/>
              <w:suppressLineNumbers w:val="0"/>
              <w:spacing w:before="0" w:beforeAutospacing="0" w:after="0" w:afterAutospacing="0"/>
              <w:ind w:left="0" w:right="0"/>
              <w:rPr>
                <w:rFonts w:hint="default" w:ascii="宋体" w:hAnsi="宋体" w:cs="宋体"/>
                <w:szCs w:val="21"/>
                <w:highlight w:val="none"/>
              </w:rPr>
            </w:pPr>
          </w:p>
          <w:p w14:paraId="4E382581">
            <w:pPr>
              <w:keepNext w:val="0"/>
              <w:keepLines w:val="0"/>
              <w:suppressLineNumbers w:val="0"/>
              <w:spacing w:before="0" w:beforeAutospacing="0" w:after="0" w:afterAutospacing="0"/>
              <w:ind w:left="0" w:right="0"/>
              <w:rPr>
                <w:rFonts w:hint="default" w:ascii="宋体" w:hAnsi="宋体" w:cs="宋体"/>
                <w:szCs w:val="21"/>
                <w:highlight w:val="none"/>
              </w:rPr>
            </w:pPr>
            <w:r>
              <w:rPr>
                <w:rFonts w:hint="eastAsia" w:ascii="宋体" w:hAnsi="宋体" w:cs="宋体"/>
                <w:szCs w:val="21"/>
                <w:highlight w:val="none"/>
              </w:rPr>
              <w:t>联系电话：</w:t>
            </w:r>
          </w:p>
          <w:p w14:paraId="439F8386">
            <w:pPr>
              <w:keepNext w:val="0"/>
              <w:keepLines w:val="0"/>
              <w:suppressLineNumbers w:val="0"/>
              <w:spacing w:before="0" w:beforeAutospacing="0" w:after="0" w:afterAutospacing="0"/>
              <w:ind w:left="0" w:right="0"/>
              <w:rPr>
                <w:rFonts w:hint="default" w:ascii="宋体" w:hAnsi="宋体" w:cs="宋体"/>
                <w:szCs w:val="21"/>
                <w:highlight w:val="none"/>
              </w:rPr>
            </w:pPr>
          </w:p>
          <w:p w14:paraId="1C03CABE">
            <w:pPr>
              <w:keepNext w:val="0"/>
              <w:keepLines w:val="0"/>
              <w:suppressLineNumbers w:val="0"/>
              <w:spacing w:before="0" w:beforeAutospacing="0" w:after="0" w:afterAutospacing="0"/>
              <w:ind w:left="0" w:right="0"/>
              <w:jc w:val="right"/>
              <w:rPr>
                <w:rFonts w:hint="default" w:ascii="宋体" w:hAnsi="宋体" w:cs="宋体"/>
                <w:szCs w:val="21"/>
                <w:highlight w:val="none"/>
              </w:rPr>
            </w:pPr>
            <w:r>
              <w:rPr>
                <w:rFonts w:hint="eastAsia" w:ascii="宋体" w:hAnsi="宋体" w:cs="宋体"/>
                <w:szCs w:val="21"/>
                <w:highlight w:val="none"/>
              </w:rPr>
              <w:t xml:space="preserve">   年  月   日</w:t>
            </w:r>
          </w:p>
        </w:tc>
      </w:tr>
    </w:tbl>
    <w:p w14:paraId="28B83B71">
      <w:pPr>
        <w:widowControl/>
        <w:ind w:firstLine="210" w:firstLineChars="100"/>
        <w:jc w:val="left"/>
        <w:rPr>
          <w:rFonts w:ascii="宋体" w:hAnsi="宋体" w:cs="@方正仿宋简体"/>
          <w:kern w:val="0"/>
          <w:szCs w:val="21"/>
          <w:highlight w:val="none"/>
        </w:rPr>
      </w:pPr>
      <w:r>
        <w:rPr>
          <w:rFonts w:hint="eastAsia" w:ascii="宋体" w:hAnsi="宋体" w:cs="@方正仿宋简体"/>
          <w:kern w:val="0"/>
          <w:szCs w:val="21"/>
          <w:highlight w:val="none"/>
        </w:rPr>
        <w:t>备注：本报告单一式三份（采购人1份、中标人1份、采购代理机构1份）。</w:t>
      </w:r>
    </w:p>
    <w:p w14:paraId="16D268B2">
      <w:pPr>
        <w:snapToGrid w:val="0"/>
        <w:spacing w:line="370" w:lineRule="exact"/>
        <w:ind w:firstLine="315" w:firstLineChars="150"/>
        <w:outlineLvl w:val="1"/>
        <w:rPr>
          <w:rFonts w:ascii="宋体" w:hAnsi="宋体"/>
          <w:szCs w:val="20"/>
          <w:highlight w:val="none"/>
        </w:rPr>
      </w:pPr>
      <w:r>
        <w:rPr>
          <w:rFonts w:ascii="宋体" w:hAnsi="宋体" w:cs="@方正仿宋简体"/>
          <w:kern w:val="0"/>
          <w:szCs w:val="21"/>
          <w:highlight w:val="none"/>
        </w:rPr>
        <w:br w:type="page"/>
      </w:r>
    </w:p>
    <w:p w14:paraId="192ED6B1">
      <w:pPr>
        <w:spacing w:line="400" w:lineRule="exact"/>
        <w:jc w:val="center"/>
        <w:rPr>
          <w:rFonts w:ascii="宋体" w:hAnsi="宋体"/>
          <w:sz w:val="32"/>
          <w:szCs w:val="32"/>
          <w:highlight w:val="none"/>
        </w:rPr>
      </w:pPr>
    </w:p>
    <w:p w14:paraId="749619D6">
      <w:pPr>
        <w:spacing w:line="400" w:lineRule="exact"/>
        <w:jc w:val="center"/>
        <w:rPr>
          <w:rFonts w:ascii="宋体" w:hAnsi="宋体"/>
          <w:sz w:val="32"/>
          <w:szCs w:val="32"/>
          <w:highlight w:val="none"/>
        </w:rPr>
      </w:pPr>
    </w:p>
    <w:p w14:paraId="5E537DB5">
      <w:pPr>
        <w:spacing w:line="400" w:lineRule="exact"/>
        <w:jc w:val="center"/>
        <w:rPr>
          <w:rFonts w:ascii="宋体" w:hAnsi="宋体"/>
          <w:sz w:val="32"/>
          <w:szCs w:val="32"/>
          <w:highlight w:val="none"/>
        </w:rPr>
      </w:pPr>
    </w:p>
    <w:p w14:paraId="0E57532C">
      <w:pPr>
        <w:spacing w:line="400" w:lineRule="exact"/>
        <w:jc w:val="center"/>
        <w:rPr>
          <w:rFonts w:ascii="宋体" w:hAnsi="宋体"/>
          <w:sz w:val="32"/>
          <w:szCs w:val="32"/>
          <w:highlight w:val="none"/>
        </w:rPr>
      </w:pPr>
    </w:p>
    <w:p w14:paraId="35A9EDAD">
      <w:pPr>
        <w:spacing w:line="400" w:lineRule="exact"/>
        <w:jc w:val="center"/>
        <w:rPr>
          <w:rFonts w:ascii="宋体" w:hAnsi="宋体"/>
          <w:sz w:val="32"/>
          <w:szCs w:val="32"/>
          <w:highlight w:val="none"/>
        </w:rPr>
      </w:pPr>
    </w:p>
    <w:p w14:paraId="074C1C4F">
      <w:pPr>
        <w:spacing w:line="400" w:lineRule="exact"/>
        <w:jc w:val="center"/>
        <w:rPr>
          <w:rFonts w:ascii="宋体" w:hAnsi="宋体"/>
          <w:sz w:val="32"/>
          <w:szCs w:val="32"/>
          <w:highlight w:val="none"/>
        </w:rPr>
      </w:pPr>
    </w:p>
    <w:p w14:paraId="54C64B73">
      <w:pPr>
        <w:spacing w:line="400" w:lineRule="exact"/>
        <w:jc w:val="center"/>
        <w:rPr>
          <w:rFonts w:ascii="宋体" w:hAnsi="宋体"/>
          <w:sz w:val="32"/>
          <w:szCs w:val="32"/>
          <w:highlight w:val="none"/>
        </w:rPr>
      </w:pPr>
    </w:p>
    <w:p w14:paraId="2533C4D0">
      <w:pPr>
        <w:spacing w:line="400" w:lineRule="exact"/>
        <w:jc w:val="center"/>
        <w:rPr>
          <w:rFonts w:ascii="宋体" w:hAnsi="宋体"/>
          <w:sz w:val="32"/>
          <w:szCs w:val="32"/>
          <w:highlight w:val="none"/>
        </w:rPr>
      </w:pPr>
    </w:p>
    <w:p w14:paraId="797345F8">
      <w:pPr>
        <w:spacing w:line="400" w:lineRule="exact"/>
        <w:jc w:val="center"/>
        <w:rPr>
          <w:rFonts w:ascii="宋体" w:hAnsi="宋体"/>
          <w:sz w:val="32"/>
          <w:szCs w:val="32"/>
          <w:highlight w:val="none"/>
        </w:rPr>
      </w:pPr>
    </w:p>
    <w:p w14:paraId="36AA7D0A">
      <w:pPr>
        <w:spacing w:line="400" w:lineRule="exact"/>
        <w:jc w:val="center"/>
        <w:rPr>
          <w:rFonts w:ascii="宋体" w:hAnsi="宋体"/>
          <w:sz w:val="32"/>
          <w:szCs w:val="32"/>
          <w:highlight w:val="none"/>
        </w:rPr>
      </w:pPr>
    </w:p>
    <w:p w14:paraId="56AAC4F8">
      <w:pPr>
        <w:spacing w:line="400" w:lineRule="exact"/>
        <w:jc w:val="center"/>
        <w:rPr>
          <w:rFonts w:ascii="宋体" w:hAnsi="宋体"/>
          <w:sz w:val="32"/>
          <w:szCs w:val="32"/>
          <w:highlight w:val="none"/>
        </w:rPr>
      </w:pPr>
    </w:p>
    <w:p w14:paraId="64A4DEA0">
      <w:pPr>
        <w:spacing w:line="400" w:lineRule="exact"/>
        <w:jc w:val="center"/>
        <w:rPr>
          <w:rFonts w:ascii="宋体" w:hAnsi="宋体"/>
          <w:sz w:val="32"/>
          <w:szCs w:val="32"/>
          <w:highlight w:val="none"/>
        </w:rPr>
      </w:pPr>
    </w:p>
    <w:p w14:paraId="53B4845D">
      <w:pPr>
        <w:spacing w:line="400" w:lineRule="exact"/>
        <w:jc w:val="center"/>
        <w:rPr>
          <w:rFonts w:ascii="宋体" w:hAnsi="宋体"/>
          <w:sz w:val="32"/>
          <w:szCs w:val="32"/>
          <w:highlight w:val="none"/>
        </w:rPr>
      </w:pPr>
    </w:p>
    <w:p w14:paraId="62B85943">
      <w:pPr>
        <w:spacing w:line="400" w:lineRule="exact"/>
        <w:jc w:val="center"/>
        <w:rPr>
          <w:rFonts w:ascii="宋体" w:hAnsi="宋体"/>
          <w:sz w:val="32"/>
          <w:szCs w:val="32"/>
          <w:highlight w:val="none"/>
        </w:rPr>
      </w:pPr>
    </w:p>
    <w:p w14:paraId="6F94FC90">
      <w:pPr>
        <w:spacing w:line="400" w:lineRule="exact"/>
        <w:jc w:val="center"/>
        <w:rPr>
          <w:rFonts w:ascii="宋体" w:hAnsi="宋体"/>
          <w:sz w:val="32"/>
          <w:szCs w:val="32"/>
          <w:highlight w:val="none"/>
        </w:rPr>
      </w:pPr>
    </w:p>
    <w:p w14:paraId="6E12F094">
      <w:pPr>
        <w:pStyle w:val="17"/>
        <w:rPr>
          <w:kern w:val="0"/>
          <w:sz w:val="44"/>
          <w:szCs w:val="44"/>
          <w:highlight w:val="none"/>
        </w:rPr>
      </w:pPr>
      <w:bookmarkStart w:id="64" w:name="_Toc476258673"/>
      <w:bookmarkStart w:id="65" w:name="_Toc476258761"/>
      <w:r>
        <w:rPr>
          <w:rFonts w:hint="eastAsia"/>
          <w:kern w:val="0"/>
          <w:sz w:val="44"/>
          <w:szCs w:val="44"/>
          <w:highlight w:val="none"/>
        </w:rPr>
        <w:t>第六章  评标标准</w:t>
      </w:r>
      <w:bookmarkEnd w:id="64"/>
      <w:bookmarkEnd w:id="65"/>
    </w:p>
    <w:p w14:paraId="75BFD95F">
      <w:pPr>
        <w:pStyle w:val="10"/>
        <w:spacing w:line="440" w:lineRule="exact"/>
        <w:rPr>
          <w:rFonts w:ascii="黑体" w:hAnsi="宋体" w:eastAsia="黑体"/>
          <w:b/>
          <w:kern w:val="0"/>
          <w:sz w:val="32"/>
          <w:szCs w:val="32"/>
          <w:highlight w:val="none"/>
        </w:rPr>
      </w:pPr>
    </w:p>
    <w:p w14:paraId="4F3C1017">
      <w:pPr>
        <w:pStyle w:val="10"/>
        <w:spacing w:line="440" w:lineRule="exact"/>
        <w:rPr>
          <w:rFonts w:ascii="黑体" w:hAnsi="宋体" w:eastAsia="黑体"/>
          <w:b/>
          <w:kern w:val="0"/>
          <w:sz w:val="32"/>
          <w:szCs w:val="32"/>
          <w:highlight w:val="none"/>
        </w:rPr>
      </w:pPr>
    </w:p>
    <w:p w14:paraId="11BC79A0">
      <w:pPr>
        <w:pStyle w:val="10"/>
        <w:spacing w:line="440" w:lineRule="exact"/>
        <w:rPr>
          <w:rFonts w:ascii="黑体" w:hAnsi="宋体" w:eastAsia="黑体"/>
          <w:b/>
          <w:kern w:val="0"/>
          <w:sz w:val="32"/>
          <w:szCs w:val="32"/>
          <w:highlight w:val="none"/>
        </w:rPr>
      </w:pPr>
    </w:p>
    <w:p w14:paraId="31EC7CB7">
      <w:pPr>
        <w:pStyle w:val="10"/>
        <w:spacing w:line="440" w:lineRule="exact"/>
        <w:rPr>
          <w:rFonts w:ascii="黑体" w:hAnsi="宋体" w:eastAsia="黑体"/>
          <w:b/>
          <w:kern w:val="0"/>
          <w:sz w:val="32"/>
          <w:szCs w:val="32"/>
          <w:highlight w:val="none"/>
        </w:rPr>
      </w:pPr>
    </w:p>
    <w:p w14:paraId="6E6C103C">
      <w:pPr>
        <w:pStyle w:val="10"/>
        <w:spacing w:line="440" w:lineRule="exact"/>
        <w:rPr>
          <w:rFonts w:ascii="黑体" w:hAnsi="宋体" w:eastAsia="黑体"/>
          <w:b/>
          <w:kern w:val="0"/>
          <w:sz w:val="32"/>
          <w:szCs w:val="32"/>
          <w:highlight w:val="none"/>
        </w:rPr>
      </w:pPr>
    </w:p>
    <w:p w14:paraId="72359896">
      <w:pPr>
        <w:pStyle w:val="10"/>
        <w:spacing w:line="440" w:lineRule="exact"/>
        <w:rPr>
          <w:rFonts w:ascii="黑体" w:hAnsi="宋体" w:eastAsia="黑体"/>
          <w:b/>
          <w:kern w:val="0"/>
          <w:sz w:val="32"/>
          <w:szCs w:val="32"/>
          <w:highlight w:val="none"/>
        </w:rPr>
      </w:pPr>
    </w:p>
    <w:p w14:paraId="38E082F2">
      <w:pPr>
        <w:pStyle w:val="10"/>
        <w:spacing w:line="440" w:lineRule="exact"/>
        <w:rPr>
          <w:rFonts w:ascii="黑体" w:hAnsi="宋体" w:eastAsia="黑体"/>
          <w:b/>
          <w:kern w:val="0"/>
          <w:sz w:val="32"/>
          <w:szCs w:val="32"/>
          <w:highlight w:val="none"/>
        </w:rPr>
      </w:pPr>
    </w:p>
    <w:p w14:paraId="6DD7AAFD">
      <w:pPr>
        <w:pStyle w:val="10"/>
        <w:spacing w:line="440" w:lineRule="exact"/>
        <w:rPr>
          <w:rFonts w:ascii="黑体" w:hAnsi="宋体" w:eastAsia="黑体"/>
          <w:b/>
          <w:kern w:val="0"/>
          <w:sz w:val="32"/>
          <w:szCs w:val="32"/>
          <w:highlight w:val="none"/>
        </w:rPr>
      </w:pPr>
    </w:p>
    <w:p w14:paraId="14B386E5">
      <w:pPr>
        <w:pStyle w:val="10"/>
        <w:spacing w:line="440" w:lineRule="exact"/>
        <w:rPr>
          <w:rFonts w:ascii="黑体" w:hAnsi="宋体" w:eastAsia="黑体"/>
          <w:b/>
          <w:kern w:val="0"/>
          <w:sz w:val="32"/>
          <w:szCs w:val="32"/>
          <w:highlight w:val="none"/>
        </w:rPr>
      </w:pPr>
    </w:p>
    <w:p w14:paraId="66C2A509">
      <w:pPr>
        <w:pStyle w:val="10"/>
        <w:spacing w:line="440" w:lineRule="exact"/>
        <w:rPr>
          <w:rFonts w:ascii="黑体" w:hAnsi="宋体" w:eastAsia="黑体"/>
          <w:b/>
          <w:kern w:val="0"/>
          <w:sz w:val="32"/>
          <w:szCs w:val="32"/>
          <w:highlight w:val="none"/>
        </w:rPr>
      </w:pPr>
    </w:p>
    <w:p w14:paraId="1799D17E">
      <w:pPr>
        <w:pStyle w:val="10"/>
        <w:spacing w:line="440" w:lineRule="exact"/>
        <w:rPr>
          <w:rFonts w:hAnsi="宋体"/>
          <w:b/>
          <w:kern w:val="0"/>
          <w:highlight w:val="none"/>
        </w:rPr>
      </w:pPr>
    </w:p>
    <w:p w14:paraId="071BF34E">
      <w:pPr>
        <w:pStyle w:val="10"/>
        <w:rPr>
          <w:rFonts w:ascii="仿宋_GB2312" w:hAnsi="宋体" w:eastAsia="仿宋_GB2312"/>
          <w:b/>
          <w:kern w:val="0"/>
          <w:sz w:val="32"/>
          <w:szCs w:val="32"/>
          <w:highlight w:val="none"/>
        </w:rPr>
      </w:pPr>
    </w:p>
    <w:p w14:paraId="43A9285D">
      <w:pPr>
        <w:pStyle w:val="3"/>
        <w:rPr>
          <w:rFonts w:ascii="仿宋_GB2312" w:hAnsi="宋体" w:eastAsia="仿宋_GB2312"/>
          <w:b w:val="0"/>
          <w:kern w:val="0"/>
          <w:sz w:val="32"/>
          <w:szCs w:val="32"/>
          <w:highlight w:val="none"/>
        </w:rPr>
      </w:pPr>
    </w:p>
    <w:p w14:paraId="64C4605D">
      <w:pPr>
        <w:rPr>
          <w:highlight w:val="none"/>
        </w:rPr>
      </w:pPr>
    </w:p>
    <w:p w14:paraId="22A9C9DE">
      <w:pPr>
        <w:pStyle w:val="15"/>
        <w:spacing w:line="360" w:lineRule="exact"/>
        <w:ind w:left="0"/>
        <w:rPr>
          <w:b/>
          <w:bCs/>
          <w:szCs w:val="21"/>
          <w:highlight w:val="none"/>
        </w:rPr>
      </w:pPr>
    </w:p>
    <w:p w14:paraId="40A39036">
      <w:pPr>
        <w:pStyle w:val="10"/>
        <w:jc w:val="center"/>
        <w:rPr>
          <w:rFonts w:ascii="仿宋_GB2312" w:hAnsi="宋体" w:eastAsia="仿宋_GB2312"/>
          <w:b/>
          <w:kern w:val="0"/>
          <w:sz w:val="32"/>
          <w:szCs w:val="32"/>
          <w:highlight w:val="none"/>
        </w:rPr>
      </w:pPr>
    </w:p>
    <w:p w14:paraId="6C34EBEA">
      <w:pPr>
        <w:pStyle w:val="10"/>
        <w:jc w:val="center"/>
        <w:rPr>
          <w:highlight w:val="none"/>
        </w:rPr>
      </w:pPr>
      <w:r>
        <w:rPr>
          <w:rFonts w:hint="eastAsia" w:ascii="仿宋_GB2312" w:hAnsi="宋体" w:eastAsia="仿宋_GB2312"/>
          <w:b/>
          <w:kern w:val="0"/>
          <w:sz w:val="32"/>
          <w:szCs w:val="32"/>
          <w:highlight w:val="none"/>
        </w:rPr>
        <w:t>评标标准</w:t>
      </w:r>
    </w:p>
    <w:p w14:paraId="43790EA5">
      <w:pPr>
        <w:keepNext w:val="0"/>
        <w:keepLines w:val="0"/>
        <w:pageBreakBefore w:val="0"/>
        <w:widowControl w:val="0"/>
        <w:kinsoku/>
        <w:wordWrap/>
        <w:overflowPunct/>
        <w:topLinePunct w:val="0"/>
        <w:autoSpaceDE/>
        <w:autoSpaceDN/>
        <w:bidi w:val="0"/>
        <w:adjustRightInd w:val="0"/>
        <w:snapToGrid/>
        <w:spacing w:line="380" w:lineRule="exact"/>
        <w:ind w:left="0"/>
        <w:jc w:val="both"/>
        <w:textAlignment w:val="baseline"/>
        <w:rPr>
          <w:rFonts w:hint="eastAsia" w:ascii="宋体" w:hAnsi="宋体" w:eastAsia="宋体" w:cs="宋体"/>
          <w:b/>
          <w:bCs/>
          <w:kern w:val="0"/>
          <w:sz w:val="21"/>
          <w:szCs w:val="21"/>
          <w:lang w:val="en-US" w:eastAsia="zh-CN" w:bidi="ar-SA"/>
        </w:rPr>
      </w:pPr>
      <w:r>
        <w:rPr>
          <w:rFonts w:hint="eastAsia" w:ascii="宋体" w:hAnsi="宋体" w:eastAsia="宋体" w:cs="宋体"/>
          <w:b/>
          <w:bCs/>
          <w:kern w:val="0"/>
          <w:sz w:val="21"/>
          <w:szCs w:val="21"/>
          <w:lang w:val="en-US" w:eastAsia="zh-CN" w:bidi="ar-SA"/>
        </w:rPr>
        <w:t>一、评标原则</w:t>
      </w:r>
    </w:p>
    <w:p w14:paraId="0C6A9C48">
      <w:pPr>
        <w:keepNext w:val="0"/>
        <w:keepLines w:val="0"/>
        <w:pageBreakBefore w:val="0"/>
        <w:widowControl w:val="0"/>
        <w:kinsoku/>
        <w:wordWrap/>
        <w:overflowPunct/>
        <w:topLinePunct w:val="0"/>
        <w:autoSpaceDE/>
        <w:autoSpaceDN/>
        <w:bidi w:val="0"/>
        <w:adjustRightInd w:val="0"/>
        <w:snapToGrid/>
        <w:spacing w:line="380" w:lineRule="exact"/>
        <w:ind w:left="0"/>
        <w:jc w:val="both"/>
        <w:textAlignment w:val="baseline"/>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lang w:val="en-US" w:eastAsia="zh-CN" w:bidi="ar-SA"/>
        </w:rPr>
        <w:t xml:space="preserve">    （一）磋商小组成员组成：本竞争性磋商采购项目的磋商小组由采购人代表和评审专家共三人以上的单数组成（达到公开招标数额标准以上的项目，竞争性磋商小组成员由五人以上单数组成）。其中，评审专家不得少于成员总数的三分之二。</w:t>
      </w:r>
    </w:p>
    <w:p w14:paraId="4B7CAB1E">
      <w:pPr>
        <w:keepNext w:val="0"/>
        <w:keepLines w:val="0"/>
        <w:pageBreakBefore w:val="0"/>
        <w:widowControl w:val="0"/>
        <w:kinsoku/>
        <w:wordWrap/>
        <w:overflowPunct/>
        <w:topLinePunct w:val="0"/>
        <w:autoSpaceDE/>
        <w:autoSpaceDN/>
        <w:bidi w:val="0"/>
        <w:snapToGrid/>
        <w:spacing w:line="380" w:lineRule="exact"/>
        <w:ind w:left="0"/>
        <w:rPr>
          <w:rFonts w:hint="eastAsia" w:ascii="宋体" w:hAnsi="宋体" w:eastAsia="宋体" w:cs="宋体"/>
          <w:b/>
        </w:rPr>
      </w:pPr>
      <w:r>
        <w:rPr>
          <w:rFonts w:hint="eastAsia" w:ascii="宋体" w:hAnsi="宋体" w:eastAsia="宋体" w:cs="宋体"/>
          <w:bCs/>
          <w:szCs w:val="21"/>
        </w:rPr>
        <w:t xml:space="preserve">    （二）评标依据：评委将以竞争性磋商文件和竞争性磋商响应文件为评标依据，对供应商的响应文件内容按百分制打分。</w:t>
      </w:r>
    </w:p>
    <w:p w14:paraId="423195B4">
      <w:pPr>
        <w:keepNext w:val="0"/>
        <w:keepLines w:val="0"/>
        <w:pageBreakBefore w:val="0"/>
        <w:widowControl w:val="0"/>
        <w:kinsoku/>
        <w:wordWrap/>
        <w:overflowPunct/>
        <w:topLinePunct w:val="0"/>
        <w:autoSpaceDE/>
        <w:autoSpaceDN/>
        <w:bidi w:val="0"/>
        <w:adjustRightInd w:val="0"/>
        <w:snapToGrid/>
        <w:spacing w:line="380" w:lineRule="exact"/>
        <w:ind w:left="0" w:firstLine="420" w:firstLineChars="200"/>
        <w:jc w:val="both"/>
        <w:textAlignment w:val="baseline"/>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lang w:val="en-US" w:eastAsia="zh-CN" w:bidi="ar-SA"/>
        </w:rPr>
        <w:t>（三）评标方式：以封闭方式进行。</w:t>
      </w:r>
    </w:p>
    <w:p w14:paraId="02339F80">
      <w:pPr>
        <w:keepNext w:val="0"/>
        <w:keepLines w:val="0"/>
        <w:pageBreakBefore w:val="0"/>
        <w:widowControl w:val="0"/>
        <w:kinsoku/>
        <w:wordWrap/>
        <w:overflowPunct/>
        <w:topLinePunct w:val="0"/>
        <w:autoSpaceDE/>
        <w:autoSpaceDN/>
        <w:bidi w:val="0"/>
        <w:adjustRightInd w:val="0"/>
        <w:snapToGrid/>
        <w:spacing w:line="380" w:lineRule="exact"/>
        <w:ind w:left="0"/>
        <w:jc w:val="both"/>
        <w:textAlignment w:val="baseline"/>
        <w:rPr>
          <w:rFonts w:hint="eastAsia" w:ascii="宋体" w:hAnsi="宋体" w:eastAsia="宋体" w:cs="宋体"/>
          <w:b/>
          <w:bCs/>
          <w:kern w:val="0"/>
          <w:sz w:val="21"/>
          <w:szCs w:val="21"/>
          <w:lang w:val="en-US" w:eastAsia="zh-CN" w:bidi="ar-SA"/>
        </w:rPr>
      </w:pPr>
      <w:r>
        <w:rPr>
          <w:rFonts w:hint="eastAsia" w:ascii="宋体" w:hAnsi="宋体" w:eastAsia="宋体" w:cs="宋体"/>
          <w:b/>
          <w:bCs/>
          <w:kern w:val="0"/>
          <w:sz w:val="21"/>
          <w:szCs w:val="21"/>
          <w:lang w:val="en-US" w:eastAsia="zh-CN" w:bidi="ar-SA"/>
        </w:rPr>
        <w:t>二、评标方法</w:t>
      </w:r>
    </w:p>
    <w:p w14:paraId="1EE8D6C9">
      <w:pPr>
        <w:keepNext w:val="0"/>
        <w:keepLines w:val="0"/>
        <w:pageBreakBefore w:val="0"/>
        <w:widowControl w:val="0"/>
        <w:kinsoku/>
        <w:wordWrap/>
        <w:overflowPunct/>
        <w:topLinePunct w:val="0"/>
        <w:autoSpaceDE/>
        <w:autoSpaceDN/>
        <w:bidi w:val="0"/>
        <w:adjustRightInd w:val="0"/>
        <w:snapToGrid/>
        <w:spacing w:line="380" w:lineRule="exact"/>
        <w:ind w:left="0"/>
        <w:jc w:val="both"/>
        <w:textAlignment w:val="baseline"/>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lang w:val="en-US" w:eastAsia="zh-CN" w:bidi="ar-SA"/>
        </w:rPr>
        <w:t>（一）对进入详评的，采用百分制综合评分法。</w:t>
      </w:r>
    </w:p>
    <w:p w14:paraId="40301310">
      <w:pPr>
        <w:keepNext w:val="0"/>
        <w:keepLines w:val="0"/>
        <w:pageBreakBefore w:val="0"/>
        <w:widowControl w:val="0"/>
        <w:kinsoku/>
        <w:wordWrap/>
        <w:overflowPunct/>
        <w:topLinePunct w:val="0"/>
        <w:autoSpaceDE/>
        <w:autoSpaceDN/>
        <w:bidi w:val="0"/>
        <w:adjustRightInd w:val="0"/>
        <w:snapToGrid/>
        <w:spacing w:line="380" w:lineRule="exact"/>
        <w:ind w:left="0"/>
        <w:jc w:val="both"/>
        <w:textAlignment w:val="baseline"/>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lang w:val="en-US" w:eastAsia="zh-CN" w:bidi="ar-SA"/>
        </w:rPr>
        <w:t>（二）计分办法（按四舍五入取至百分位）：</w:t>
      </w:r>
    </w:p>
    <w:p w14:paraId="6251A8CB">
      <w:pPr>
        <w:keepNext w:val="0"/>
        <w:keepLines w:val="0"/>
        <w:pageBreakBefore w:val="0"/>
        <w:widowControl w:val="0"/>
        <w:kinsoku/>
        <w:wordWrap/>
        <w:overflowPunct/>
        <w:topLinePunct w:val="0"/>
        <w:autoSpaceDE/>
        <w:autoSpaceDN/>
        <w:bidi w:val="0"/>
        <w:snapToGrid/>
        <w:spacing w:line="380" w:lineRule="exact"/>
        <w:rPr>
          <w:rFonts w:ascii="宋体" w:hAnsi="宋体" w:eastAsia="宋体" w:cs="Times New Roman"/>
          <w:b/>
          <w:color w:val="auto"/>
          <w:szCs w:val="21"/>
        </w:rPr>
      </w:pPr>
      <w:r>
        <w:rPr>
          <w:rFonts w:ascii="宋体" w:hAnsi="宋体" w:eastAsia="宋体" w:cs="Times New Roman"/>
          <w:b/>
          <w:color w:val="auto"/>
          <w:szCs w:val="21"/>
        </w:rPr>
        <w:t>1</w:t>
      </w:r>
      <w:r>
        <w:rPr>
          <w:rFonts w:hint="eastAsia" w:ascii="宋体" w:hAnsi="宋体" w:eastAsia="宋体" w:cs="Times New Roman"/>
          <w:b/>
          <w:color w:val="auto"/>
          <w:szCs w:val="21"/>
        </w:rPr>
        <w:t>、价格分………………………………………………………………………………………………………1</w:t>
      </w:r>
      <w:r>
        <w:rPr>
          <w:rFonts w:ascii="宋体" w:hAnsi="宋体" w:eastAsia="宋体" w:cs="Times New Roman"/>
          <w:b/>
          <w:color w:val="auto"/>
          <w:szCs w:val="21"/>
        </w:rPr>
        <w:t>0</w:t>
      </w:r>
      <w:r>
        <w:rPr>
          <w:rFonts w:hint="eastAsia" w:ascii="宋体" w:hAnsi="宋体" w:eastAsia="宋体" w:cs="Times New Roman"/>
          <w:b/>
          <w:color w:val="auto"/>
          <w:szCs w:val="21"/>
        </w:rPr>
        <w:t>分</w:t>
      </w:r>
    </w:p>
    <w:p w14:paraId="6B2C6FB2">
      <w:pPr>
        <w:keepNext w:val="0"/>
        <w:keepLines w:val="0"/>
        <w:pageBreakBefore w:val="0"/>
        <w:widowControl w:val="0"/>
        <w:kinsoku/>
        <w:wordWrap/>
        <w:overflowPunct/>
        <w:topLinePunct w:val="0"/>
        <w:autoSpaceDE/>
        <w:autoSpaceDN/>
        <w:bidi w:val="0"/>
        <w:snapToGrid/>
        <w:spacing w:line="380" w:lineRule="exact"/>
        <w:ind w:firstLine="420" w:firstLineChars="200"/>
        <w:jc w:val="both"/>
        <w:rPr>
          <w:rFonts w:hint="eastAsia" w:ascii="宋体" w:hAnsi="宋体" w:eastAsia="宋体" w:cs="宋体"/>
          <w:bCs/>
          <w:color w:val="auto"/>
          <w:kern w:val="0"/>
          <w:sz w:val="21"/>
          <w:szCs w:val="21"/>
          <w:lang w:val="en-US" w:eastAsia="zh-CN" w:bidi="ar-SA"/>
        </w:rPr>
      </w:pPr>
      <w:r>
        <w:rPr>
          <w:rFonts w:hint="eastAsia" w:ascii="宋体" w:hAnsi="宋体" w:eastAsia="宋体" w:cs="宋体"/>
          <w:bCs/>
          <w:color w:val="auto"/>
          <w:kern w:val="0"/>
          <w:sz w:val="21"/>
          <w:szCs w:val="21"/>
          <w:lang w:val="en-US" w:eastAsia="zh-CN" w:bidi="ar-SA"/>
        </w:rPr>
        <w:t>（1）本项目为专门面向</w:t>
      </w:r>
      <w:r>
        <w:rPr>
          <w:rFonts w:hint="eastAsia" w:ascii="宋体" w:hAnsi="宋体" w:cs="宋体"/>
          <w:bCs/>
          <w:color w:val="auto"/>
          <w:kern w:val="0"/>
          <w:sz w:val="21"/>
          <w:szCs w:val="21"/>
          <w:lang w:val="en-US" w:eastAsia="zh-CN" w:bidi="ar-SA"/>
        </w:rPr>
        <w:t>小微</w:t>
      </w:r>
      <w:r>
        <w:rPr>
          <w:rFonts w:hint="eastAsia" w:ascii="宋体" w:hAnsi="宋体" w:eastAsia="宋体" w:cs="宋体"/>
          <w:bCs/>
          <w:color w:val="auto"/>
          <w:kern w:val="0"/>
          <w:sz w:val="21"/>
          <w:szCs w:val="21"/>
          <w:lang w:val="en-US" w:eastAsia="zh-CN" w:bidi="ar-SA"/>
        </w:rPr>
        <w:t>企业采购的项目，不再执行价格评审优惠的扶持政策</w:t>
      </w:r>
      <w:r>
        <w:rPr>
          <w:rFonts w:hint="eastAsia" w:ascii="宋体" w:hAnsi="宋体" w:eastAsia="宋体" w:cs="宋体"/>
          <w:bCs/>
          <w:color w:val="auto"/>
          <w:kern w:val="0"/>
        </w:rPr>
        <w:t>。</w:t>
      </w:r>
    </w:p>
    <w:p w14:paraId="018F3EF0">
      <w:pPr>
        <w:keepNext w:val="0"/>
        <w:keepLines w:val="0"/>
        <w:pageBreakBefore w:val="0"/>
        <w:widowControl w:val="0"/>
        <w:kinsoku/>
        <w:wordWrap/>
        <w:overflowPunct/>
        <w:topLinePunct w:val="0"/>
        <w:autoSpaceDE/>
        <w:autoSpaceDN/>
        <w:bidi w:val="0"/>
        <w:snapToGrid/>
        <w:spacing w:line="380" w:lineRule="exact"/>
        <w:ind w:firstLine="420" w:firstLineChars="200"/>
        <w:jc w:val="both"/>
        <w:rPr>
          <w:rFonts w:hint="eastAsia" w:ascii="宋体" w:hAnsi="宋体" w:eastAsia="宋体" w:cs="Courier New"/>
          <w:bCs/>
          <w:color w:val="auto"/>
          <w:kern w:val="0"/>
          <w:sz w:val="21"/>
          <w:szCs w:val="21"/>
          <w:lang w:val="en-US" w:eastAsia="zh-CN" w:bidi="ar-SA"/>
        </w:rPr>
      </w:pPr>
      <w:r>
        <w:rPr>
          <w:rFonts w:hint="eastAsia" w:ascii="宋体" w:hAnsi="宋体" w:eastAsia="宋体" w:cs="宋体"/>
          <w:bCs/>
          <w:color w:val="auto"/>
          <w:kern w:val="0"/>
          <w:sz w:val="21"/>
          <w:szCs w:val="21"/>
          <w:lang w:val="en-US" w:eastAsia="zh-CN" w:bidi="ar-SA"/>
        </w:rPr>
        <w:t>按照《关于政府采购支持监狱企业发展有关问题的通知》（财库〔2014〕68号）认定为监狱企业</w:t>
      </w:r>
      <w:r>
        <w:rPr>
          <w:rFonts w:hint="eastAsia" w:ascii="宋体" w:hAnsi="宋体" w:eastAsia="宋体" w:cs="Courier New"/>
          <w:bCs/>
          <w:color w:val="auto"/>
          <w:kern w:val="0"/>
          <w:sz w:val="21"/>
          <w:szCs w:val="21"/>
          <w:lang w:val="en-US" w:eastAsia="zh-CN" w:bidi="ar-SA"/>
        </w:rPr>
        <w:t>的，在采购活动中，监狱企业视同小型、微型企业。监狱企业参加采购活动时，应当提供由省级以上监狱管理局、戒毒管理局（含新疆生产建设兵团）出具的属于监狱企业的证明文件。</w:t>
      </w:r>
    </w:p>
    <w:p w14:paraId="53D13E14">
      <w:pPr>
        <w:keepNext w:val="0"/>
        <w:keepLines w:val="0"/>
        <w:pageBreakBefore w:val="0"/>
        <w:widowControl w:val="0"/>
        <w:kinsoku/>
        <w:wordWrap/>
        <w:overflowPunct/>
        <w:topLinePunct w:val="0"/>
        <w:autoSpaceDE/>
        <w:autoSpaceDN/>
        <w:bidi w:val="0"/>
        <w:snapToGrid/>
        <w:spacing w:line="380" w:lineRule="exact"/>
        <w:ind w:firstLine="420" w:firstLineChars="200"/>
        <w:jc w:val="both"/>
        <w:rPr>
          <w:rFonts w:hint="eastAsia" w:ascii="宋体" w:hAnsi="宋体" w:eastAsia="宋体" w:cs="宋体"/>
          <w:bCs/>
          <w:color w:val="auto"/>
          <w:kern w:val="0"/>
          <w:sz w:val="21"/>
          <w:szCs w:val="21"/>
          <w:lang w:val="en-US" w:eastAsia="zh-CN" w:bidi="ar-SA"/>
        </w:rPr>
      </w:pPr>
      <w:r>
        <w:rPr>
          <w:rFonts w:hint="eastAsia" w:ascii="宋体" w:hAnsi="宋体" w:eastAsia="宋体" w:cs="Courier New"/>
          <w:bCs/>
          <w:color w:val="auto"/>
          <w:kern w:val="0"/>
          <w:sz w:val="21"/>
          <w:szCs w:val="21"/>
          <w:lang w:val="en-US" w:eastAsia="zh-CN" w:bidi="ar-SA"/>
        </w:rPr>
        <w:t>符合《关于促进残疾人就业政府采购政策的通知》(财库〔2017〕141号)规定条件，认定为残疾人福利性单位的，在采购活动中，残疾人福利性单位视同小型、微型企业。残疾人福利性单位参加采购活动时，应当提供该通知规定的《残疾人福利性单位声明函》，并对声明的真实性负责。中标人为残疾人福利性单</w:t>
      </w:r>
      <w:r>
        <w:rPr>
          <w:rFonts w:hint="eastAsia" w:ascii="宋体" w:hAnsi="宋体" w:eastAsia="宋体" w:cs="宋体"/>
          <w:bCs/>
          <w:color w:val="auto"/>
          <w:kern w:val="0"/>
          <w:sz w:val="21"/>
          <w:szCs w:val="21"/>
          <w:lang w:val="en-US" w:eastAsia="zh-CN" w:bidi="ar-SA"/>
        </w:rPr>
        <w:t>位的，随中标结果公告其《残疾人福利性单位声明函》，接受社会监督。</w:t>
      </w:r>
    </w:p>
    <w:p w14:paraId="5DFAFFFB">
      <w:pPr>
        <w:keepNext w:val="0"/>
        <w:keepLines w:val="0"/>
        <w:pageBreakBefore w:val="0"/>
        <w:widowControl w:val="0"/>
        <w:kinsoku/>
        <w:wordWrap/>
        <w:overflowPunct/>
        <w:topLinePunct w:val="0"/>
        <w:autoSpaceDE/>
        <w:autoSpaceDN/>
        <w:bidi w:val="0"/>
        <w:snapToGrid/>
        <w:spacing w:line="380" w:lineRule="exact"/>
        <w:ind w:firstLine="420" w:firstLineChars="200"/>
        <w:jc w:val="both"/>
        <w:rPr>
          <w:rFonts w:hint="eastAsia" w:ascii="宋体" w:hAnsi="宋体" w:eastAsia="宋体" w:cs="宋体"/>
          <w:bCs/>
          <w:color w:val="auto"/>
          <w:kern w:val="0"/>
          <w:sz w:val="21"/>
          <w:szCs w:val="21"/>
          <w:lang w:val="en-US" w:eastAsia="zh-CN" w:bidi="ar-SA"/>
        </w:rPr>
      </w:pPr>
      <w:r>
        <w:rPr>
          <w:rFonts w:hint="eastAsia" w:ascii="宋体" w:hAnsi="宋体" w:eastAsia="宋体" w:cs="宋体"/>
          <w:bCs/>
          <w:color w:val="auto"/>
          <w:kern w:val="0"/>
          <w:sz w:val="21"/>
          <w:szCs w:val="21"/>
          <w:lang w:val="en-US" w:eastAsia="zh-CN" w:bidi="ar-SA"/>
        </w:rPr>
        <w:t>（2）以进入评审的最低的评标价为</w:t>
      </w:r>
      <w:r>
        <w:rPr>
          <w:rFonts w:hint="eastAsia" w:ascii="宋体" w:hAnsi="宋体" w:eastAsia="宋体" w:cs="宋体"/>
          <w:bCs/>
          <w:color w:val="auto"/>
          <w:kern w:val="0"/>
          <w:sz w:val="21"/>
          <w:szCs w:val="21"/>
          <w:u w:val="single"/>
          <w:lang w:val="en-US" w:eastAsia="zh-CN" w:bidi="ar-SA"/>
        </w:rPr>
        <w:t>10</w:t>
      </w:r>
      <w:r>
        <w:rPr>
          <w:rFonts w:hint="eastAsia" w:ascii="宋体" w:hAnsi="宋体" w:eastAsia="宋体" w:cs="宋体"/>
          <w:bCs/>
          <w:color w:val="auto"/>
          <w:kern w:val="0"/>
          <w:sz w:val="21"/>
          <w:szCs w:val="21"/>
          <w:lang w:val="en-US" w:eastAsia="zh-CN" w:bidi="ar-SA"/>
        </w:rPr>
        <w:t>分。</w:t>
      </w:r>
    </w:p>
    <w:p w14:paraId="52D232A4">
      <w:pPr>
        <w:keepNext w:val="0"/>
        <w:keepLines w:val="0"/>
        <w:pageBreakBefore w:val="0"/>
        <w:widowControl w:val="0"/>
        <w:kinsoku/>
        <w:wordWrap/>
        <w:overflowPunct/>
        <w:topLinePunct w:val="0"/>
        <w:autoSpaceDE/>
        <w:autoSpaceDN/>
        <w:bidi w:val="0"/>
        <w:snapToGrid/>
        <w:spacing w:line="380" w:lineRule="exact"/>
        <w:ind w:firstLine="420" w:firstLineChars="200"/>
        <w:rPr>
          <w:rFonts w:hint="eastAsia" w:ascii="宋体" w:hAnsi="宋体" w:eastAsia="宋体" w:cs="宋体"/>
          <w:color w:val="auto"/>
          <w:szCs w:val="21"/>
          <w:lang w:bidi="ar"/>
        </w:rPr>
      </w:pPr>
      <w:r>
        <w:rPr>
          <w:rFonts w:hint="eastAsia" w:ascii="宋体" w:hAnsi="宋体" w:eastAsia="宋体" w:cs="宋体"/>
          <w:bCs/>
          <w:color w:val="auto"/>
          <w:kern w:val="0"/>
        </w:rPr>
        <w:t>（3）某供应商价格分 = 供应商最低评标报价（金额）/某供应商评标报价（金额）× 10分</w:t>
      </w:r>
    </w:p>
    <w:p w14:paraId="237D198D">
      <w:pPr>
        <w:keepNext w:val="0"/>
        <w:keepLines w:val="0"/>
        <w:pageBreakBefore w:val="0"/>
        <w:widowControl w:val="0"/>
        <w:kinsoku/>
        <w:wordWrap/>
        <w:overflowPunct/>
        <w:topLinePunct w:val="0"/>
        <w:autoSpaceDE/>
        <w:autoSpaceDN/>
        <w:bidi w:val="0"/>
        <w:adjustRightInd w:val="0"/>
        <w:snapToGrid/>
        <w:spacing w:line="380" w:lineRule="exact"/>
        <w:ind w:left="0"/>
        <w:jc w:val="both"/>
        <w:textAlignment w:val="baseline"/>
        <w:rPr>
          <w:rFonts w:hint="eastAsia" w:ascii="宋体" w:hAnsi="宋体" w:eastAsia="宋体" w:cs="宋体"/>
          <w:b/>
          <w:color w:val="auto"/>
          <w:kern w:val="0"/>
          <w:sz w:val="21"/>
          <w:szCs w:val="21"/>
          <w:lang w:val="en-US" w:eastAsia="zh-CN" w:bidi="ar-SA"/>
        </w:rPr>
      </w:pPr>
      <w:r>
        <w:rPr>
          <w:rFonts w:hint="eastAsia" w:ascii="宋体" w:hAnsi="宋体" w:eastAsia="宋体" w:cs="宋体"/>
          <w:b/>
          <w:color w:val="auto"/>
          <w:kern w:val="0"/>
          <w:sz w:val="21"/>
          <w:szCs w:val="21"/>
          <w:lang w:val="en-US" w:eastAsia="zh-CN" w:bidi="ar-SA"/>
        </w:rPr>
        <w:t>2、技术分</w:t>
      </w:r>
      <w:r>
        <w:rPr>
          <w:rFonts w:hint="eastAsia" w:ascii="宋体" w:hAnsi="宋体" w:eastAsia="宋体" w:cs="宋体"/>
          <w:b/>
          <w:color w:val="auto"/>
          <w:szCs w:val="21"/>
        </w:rPr>
        <w:t>………………………………………………………………………………………………………</w:t>
      </w:r>
      <w:r>
        <w:rPr>
          <w:rFonts w:hint="eastAsia" w:ascii="宋体" w:hAnsi="宋体" w:cs="宋体"/>
          <w:b/>
          <w:color w:val="auto"/>
          <w:szCs w:val="21"/>
          <w:lang w:val="en-US" w:eastAsia="zh-CN"/>
        </w:rPr>
        <w:t>86</w:t>
      </w:r>
      <w:r>
        <w:rPr>
          <w:rFonts w:hint="eastAsia" w:ascii="宋体" w:hAnsi="宋体" w:eastAsia="宋体" w:cs="宋体"/>
          <w:b/>
          <w:color w:val="auto"/>
          <w:szCs w:val="21"/>
        </w:rPr>
        <w:t>分</w:t>
      </w:r>
    </w:p>
    <w:p w14:paraId="75D88564">
      <w:pPr>
        <w:keepNext w:val="0"/>
        <w:keepLines w:val="0"/>
        <w:pageBreakBefore w:val="0"/>
        <w:widowControl w:val="0"/>
        <w:kinsoku/>
        <w:wordWrap/>
        <w:overflowPunct/>
        <w:topLinePunct w:val="0"/>
        <w:autoSpaceDE/>
        <w:autoSpaceDN/>
        <w:bidi w:val="0"/>
        <w:adjustRightInd w:val="0"/>
        <w:snapToGrid/>
        <w:spacing w:line="380" w:lineRule="exact"/>
        <w:ind w:left="0" w:firstLine="422" w:firstLineChars="200"/>
        <w:jc w:val="both"/>
        <w:textAlignment w:val="baseline"/>
        <w:rPr>
          <w:rFonts w:hint="eastAsia" w:ascii="宋体" w:hAnsi="宋体" w:eastAsia="宋体" w:cs="宋体"/>
          <w:b/>
          <w:bCs w:val="0"/>
          <w:color w:val="auto"/>
          <w:kern w:val="0"/>
          <w:sz w:val="21"/>
          <w:szCs w:val="21"/>
          <w:lang w:val="en-US" w:eastAsia="zh-CN" w:bidi="ar-SA"/>
        </w:rPr>
      </w:pPr>
      <w:r>
        <w:rPr>
          <w:rFonts w:hint="eastAsia" w:ascii="宋体" w:hAnsi="宋体" w:eastAsia="宋体" w:cs="宋体"/>
          <w:b/>
          <w:bCs w:val="0"/>
          <w:color w:val="auto"/>
          <w:kern w:val="0"/>
          <w:sz w:val="21"/>
          <w:szCs w:val="21"/>
          <w:lang w:val="en-US" w:eastAsia="zh-CN" w:bidi="ar-SA"/>
        </w:rPr>
        <w:t>（1）</w:t>
      </w:r>
      <w:r>
        <w:rPr>
          <w:rFonts w:hint="eastAsia" w:ascii="宋体" w:hAnsi="宋体" w:cs="宋体"/>
          <w:b/>
          <w:bCs w:val="0"/>
          <w:color w:val="auto"/>
          <w:kern w:val="0"/>
          <w:sz w:val="21"/>
          <w:szCs w:val="21"/>
          <w:lang w:val="en-US" w:eastAsia="zh-CN" w:bidi="ar-SA"/>
        </w:rPr>
        <w:t>项目实施</w:t>
      </w:r>
      <w:r>
        <w:rPr>
          <w:rFonts w:hint="eastAsia" w:ascii="宋体" w:hAnsi="宋体" w:eastAsia="宋体" w:cs="宋体"/>
          <w:b/>
          <w:bCs w:val="0"/>
          <w:color w:val="auto"/>
          <w:kern w:val="0"/>
          <w:sz w:val="21"/>
          <w:szCs w:val="21"/>
          <w:lang w:val="en-US" w:eastAsia="zh-CN" w:bidi="ar-SA"/>
        </w:rPr>
        <w:t>方案分（满分</w:t>
      </w:r>
      <w:r>
        <w:rPr>
          <w:rFonts w:hint="eastAsia" w:ascii="宋体" w:hAnsi="宋体" w:cs="宋体"/>
          <w:b/>
          <w:bCs w:val="0"/>
          <w:color w:val="auto"/>
          <w:kern w:val="0"/>
          <w:sz w:val="21"/>
          <w:szCs w:val="21"/>
          <w:lang w:val="en-US" w:eastAsia="zh-CN" w:bidi="ar-SA"/>
        </w:rPr>
        <w:t>30</w:t>
      </w:r>
      <w:r>
        <w:rPr>
          <w:rFonts w:hint="eastAsia" w:ascii="宋体" w:hAnsi="宋体" w:eastAsia="宋体" w:cs="宋体"/>
          <w:b/>
          <w:bCs w:val="0"/>
          <w:color w:val="auto"/>
          <w:kern w:val="0"/>
          <w:sz w:val="21"/>
          <w:szCs w:val="21"/>
          <w:lang w:val="en-US" w:eastAsia="zh-CN" w:bidi="ar-SA"/>
        </w:rPr>
        <w:t>分）</w:t>
      </w:r>
    </w:p>
    <w:p w14:paraId="4000F0E7">
      <w:pPr>
        <w:keepNext w:val="0"/>
        <w:keepLines w:val="0"/>
        <w:pageBreakBefore w:val="0"/>
        <w:widowControl w:val="0"/>
        <w:kinsoku/>
        <w:wordWrap/>
        <w:overflowPunct/>
        <w:topLinePunct w:val="0"/>
        <w:autoSpaceDE/>
        <w:autoSpaceDN/>
        <w:bidi w:val="0"/>
        <w:adjustRightInd w:val="0"/>
        <w:snapToGrid/>
        <w:spacing w:line="380" w:lineRule="exact"/>
        <w:ind w:left="0" w:firstLine="420" w:firstLineChars="200"/>
        <w:jc w:val="both"/>
        <w:textAlignment w:val="baseline"/>
        <w:rPr>
          <w:rFonts w:hint="eastAsia" w:ascii="宋体" w:hAnsi="宋体" w:eastAsia="宋体" w:cs="宋体"/>
          <w:b w:val="0"/>
          <w:bCs/>
          <w:color w:val="auto"/>
          <w:kern w:val="0"/>
          <w:sz w:val="21"/>
          <w:szCs w:val="21"/>
          <w:lang w:val="en-US" w:eastAsia="zh-CN" w:bidi="ar-SA"/>
        </w:rPr>
      </w:pPr>
      <w:r>
        <w:rPr>
          <w:rFonts w:hint="eastAsia" w:ascii="宋体" w:hAnsi="宋体" w:eastAsia="宋体" w:cs="宋体"/>
          <w:b w:val="0"/>
          <w:bCs/>
          <w:color w:val="auto"/>
          <w:kern w:val="0"/>
          <w:sz w:val="21"/>
          <w:szCs w:val="21"/>
          <w:lang w:val="en-US" w:eastAsia="zh-CN" w:bidi="ar-SA"/>
        </w:rPr>
        <w:t>未提供方案或提供方案达不到一档要求的不得分。</w:t>
      </w:r>
    </w:p>
    <w:p w14:paraId="3552A027">
      <w:pPr>
        <w:keepNext w:val="0"/>
        <w:keepLines w:val="0"/>
        <w:pageBreakBefore w:val="0"/>
        <w:widowControl w:val="0"/>
        <w:numPr>
          <w:ilvl w:val="0"/>
          <w:numId w:val="0"/>
        </w:numPr>
        <w:kinsoku/>
        <w:wordWrap/>
        <w:overflowPunct/>
        <w:topLinePunct w:val="0"/>
        <w:autoSpaceDE/>
        <w:autoSpaceDN/>
        <w:bidi w:val="0"/>
        <w:adjustRightInd w:val="0"/>
        <w:snapToGrid/>
        <w:spacing w:line="380" w:lineRule="exact"/>
        <w:ind w:firstLine="420" w:firstLineChars="200"/>
        <w:jc w:val="both"/>
        <w:textAlignment w:val="baseline"/>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一档（</w:t>
      </w:r>
      <w:r>
        <w:rPr>
          <w:rFonts w:hint="eastAsia" w:ascii="宋体" w:hAnsi="宋体" w:cs="宋体"/>
          <w:b w:val="0"/>
          <w:bCs/>
          <w:color w:val="auto"/>
          <w:sz w:val="21"/>
          <w:szCs w:val="21"/>
          <w:lang w:val="en-US" w:eastAsia="zh-CN"/>
        </w:rPr>
        <w:t>15</w:t>
      </w:r>
      <w:r>
        <w:rPr>
          <w:rFonts w:hint="eastAsia" w:ascii="宋体" w:hAnsi="宋体" w:eastAsia="宋体" w:cs="宋体"/>
          <w:b w:val="0"/>
          <w:bCs/>
          <w:color w:val="auto"/>
          <w:sz w:val="21"/>
          <w:szCs w:val="21"/>
          <w:lang w:val="en-US" w:eastAsia="zh-CN"/>
        </w:rPr>
        <w:t>分）：提供简单的实施方案（包括项目整体方案、技术方案、项目管理机构、物流管理、项目实施进度），方案可操作性一般且凌乱，简单阐述实施方案。</w:t>
      </w:r>
    </w:p>
    <w:p w14:paraId="580A223B">
      <w:pPr>
        <w:keepNext w:val="0"/>
        <w:keepLines w:val="0"/>
        <w:pageBreakBefore w:val="0"/>
        <w:widowControl w:val="0"/>
        <w:numPr>
          <w:ilvl w:val="0"/>
          <w:numId w:val="0"/>
        </w:numPr>
        <w:kinsoku/>
        <w:wordWrap/>
        <w:overflowPunct/>
        <w:topLinePunct w:val="0"/>
        <w:autoSpaceDE/>
        <w:autoSpaceDN/>
        <w:bidi w:val="0"/>
        <w:adjustRightInd w:val="0"/>
        <w:snapToGrid/>
        <w:spacing w:line="380" w:lineRule="exact"/>
        <w:ind w:firstLine="420" w:firstLineChars="200"/>
        <w:jc w:val="both"/>
        <w:textAlignment w:val="baseline"/>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二档（</w:t>
      </w:r>
      <w:r>
        <w:rPr>
          <w:rFonts w:hint="eastAsia" w:ascii="宋体" w:hAnsi="宋体" w:cs="宋体"/>
          <w:b w:val="0"/>
          <w:bCs/>
          <w:color w:val="auto"/>
          <w:sz w:val="21"/>
          <w:szCs w:val="21"/>
          <w:lang w:val="en-US" w:eastAsia="zh-CN"/>
        </w:rPr>
        <w:t>20</w:t>
      </w:r>
      <w:r>
        <w:rPr>
          <w:rFonts w:hint="eastAsia" w:ascii="宋体" w:hAnsi="宋体" w:eastAsia="宋体" w:cs="宋体"/>
          <w:b w:val="0"/>
          <w:bCs/>
          <w:color w:val="auto"/>
          <w:sz w:val="21"/>
          <w:szCs w:val="21"/>
          <w:lang w:val="en-US" w:eastAsia="zh-CN"/>
        </w:rPr>
        <w:t>分）：项目实施方案（包括项目整体方案、技术方案、项目管理机构、物流管理、项目实施进度）基本可行，存在一定的缺陷，方案基本完整、合理，有基本的进度计划实施控制保证方案，有相应的保障措施，</w:t>
      </w:r>
      <w:r>
        <w:rPr>
          <w:rFonts w:hint="eastAsia" w:ascii="宋体" w:hAnsi="宋体" w:cs="宋体"/>
          <w:b w:val="0"/>
          <w:bCs/>
          <w:color w:val="auto"/>
          <w:sz w:val="21"/>
          <w:szCs w:val="21"/>
          <w:lang w:val="en-US" w:eastAsia="zh-CN"/>
        </w:rPr>
        <w:t>安装</w:t>
      </w:r>
      <w:r>
        <w:rPr>
          <w:rFonts w:hint="eastAsia" w:ascii="宋体" w:hAnsi="宋体" w:eastAsia="宋体" w:cs="宋体"/>
          <w:b w:val="0"/>
          <w:bCs/>
          <w:color w:val="auto"/>
          <w:sz w:val="21"/>
          <w:szCs w:val="21"/>
          <w:lang w:val="en-US" w:eastAsia="zh-CN"/>
        </w:rPr>
        <w:t>方案基本可行能基本满足项目进度要求。</w:t>
      </w:r>
    </w:p>
    <w:p w14:paraId="4B0EE39C">
      <w:pPr>
        <w:keepNext w:val="0"/>
        <w:keepLines w:val="0"/>
        <w:pageBreakBefore w:val="0"/>
        <w:widowControl w:val="0"/>
        <w:numPr>
          <w:ilvl w:val="0"/>
          <w:numId w:val="0"/>
        </w:numPr>
        <w:kinsoku/>
        <w:wordWrap/>
        <w:overflowPunct/>
        <w:topLinePunct w:val="0"/>
        <w:autoSpaceDE/>
        <w:autoSpaceDN/>
        <w:bidi w:val="0"/>
        <w:adjustRightInd w:val="0"/>
        <w:snapToGrid/>
        <w:spacing w:line="380" w:lineRule="exact"/>
        <w:ind w:firstLine="420" w:firstLineChars="200"/>
        <w:jc w:val="both"/>
        <w:textAlignment w:val="baseline"/>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三档（</w:t>
      </w:r>
      <w:r>
        <w:rPr>
          <w:rFonts w:hint="eastAsia" w:ascii="宋体" w:hAnsi="宋体" w:cs="宋体"/>
          <w:b w:val="0"/>
          <w:bCs/>
          <w:color w:val="auto"/>
          <w:sz w:val="21"/>
          <w:szCs w:val="21"/>
          <w:lang w:val="en-US" w:eastAsia="zh-CN"/>
        </w:rPr>
        <w:t>25</w:t>
      </w:r>
      <w:r>
        <w:rPr>
          <w:rFonts w:hint="eastAsia" w:ascii="宋体" w:hAnsi="宋体" w:eastAsia="宋体" w:cs="宋体"/>
          <w:b w:val="0"/>
          <w:bCs/>
          <w:color w:val="auto"/>
          <w:sz w:val="21"/>
          <w:szCs w:val="21"/>
          <w:lang w:val="en-US" w:eastAsia="zh-CN"/>
        </w:rPr>
        <w:t>分）：项目实施方案（包括项目整体方案、技术方案、项目管理机构、物流管理、项目实施进度）符合现场实际情况，较详细，内容较完整，方案较完善全面，有较好的进度计划实施控制保证方案，有较好的保障措施，</w:t>
      </w:r>
      <w:r>
        <w:rPr>
          <w:rFonts w:hint="eastAsia" w:ascii="宋体" w:hAnsi="宋体" w:cs="宋体"/>
          <w:b w:val="0"/>
          <w:bCs/>
          <w:color w:val="auto"/>
          <w:sz w:val="21"/>
          <w:szCs w:val="21"/>
          <w:lang w:val="en-US" w:eastAsia="zh-CN"/>
        </w:rPr>
        <w:t>安装</w:t>
      </w:r>
      <w:r>
        <w:rPr>
          <w:rFonts w:hint="eastAsia" w:ascii="宋体" w:hAnsi="宋体" w:eastAsia="宋体" w:cs="宋体"/>
          <w:b w:val="0"/>
          <w:bCs/>
          <w:color w:val="auto"/>
          <w:sz w:val="21"/>
          <w:szCs w:val="21"/>
          <w:lang w:val="en-US" w:eastAsia="zh-CN"/>
        </w:rPr>
        <w:t>方案合理可行，</w:t>
      </w:r>
      <w:r>
        <w:rPr>
          <w:rFonts w:hint="eastAsia" w:ascii="宋体" w:hAnsi="宋体" w:cs="宋体"/>
          <w:b w:val="0"/>
          <w:bCs/>
          <w:color w:val="auto"/>
          <w:sz w:val="21"/>
          <w:szCs w:val="21"/>
          <w:lang w:val="en-US" w:eastAsia="zh-CN"/>
        </w:rPr>
        <w:t>材料进场</w:t>
      </w:r>
      <w:r>
        <w:rPr>
          <w:rFonts w:hint="eastAsia" w:ascii="宋体" w:hAnsi="宋体" w:eastAsia="宋体" w:cs="宋体"/>
          <w:b w:val="0"/>
          <w:bCs/>
          <w:color w:val="auto"/>
          <w:sz w:val="21"/>
          <w:szCs w:val="21"/>
          <w:lang w:val="en-US" w:eastAsia="zh-CN"/>
        </w:rPr>
        <w:t>过程和进度控制良好。</w:t>
      </w:r>
    </w:p>
    <w:p w14:paraId="0840362C">
      <w:pPr>
        <w:keepNext w:val="0"/>
        <w:keepLines w:val="0"/>
        <w:pageBreakBefore w:val="0"/>
        <w:widowControl w:val="0"/>
        <w:numPr>
          <w:ilvl w:val="0"/>
          <w:numId w:val="0"/>
        </w:numPr>
        <w:kinsoku/>
        <w:wordWrap/>
        <w:overflowPunct/>
        <w:topLinePunct w:val="0"/>
        <w:autoSpaceDE/>
        <w:autoSpaceDN/>
        <w:bidi w:val="0"/>
        <w:adjustRightInd w:val="0"/>
        <w:snapToGrid/>
        <w:spacing w:line="380" w:lineRule="exact"/>
        <w:ind w:firstLine="420" w:firstLineChars="200"/>
        <w:jc w:val="both"/>
        <w:textAlignment w:val="baseline"/>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四档（</w:t>
      </w:r>
      <w:r>
        <w:rPr>
          <w:rFonts w:hint="eastAsia" w:ascii="宋体" w:hAnsi="宋体" w:cs="宋体"/>
          <w:b w:val="0"/>
          <w:bCs/>
          <w:color w:val="auto"/>
          <w:sz w:val="21"/>
          <w:szCs w:val="21"/>
          <w:lang w:val="en-US" w:eastAsia="zh-CN"/>
        </w:rPr>
        <w:t>30</w:t>
      </w:r>
      <w:r>
        <w:rPr>
          <w:rFonts w:hint="eastAsia" w:ascii="宋体" w:hAnsi="宋体" w:eastAsia="宋体" w:cs="宋体"/>
          <w:b w:val="0"/>
          <w:bCs/>
          <w:color w:val="auto"/>
          <w:sz w:val="21"/>
          <w:szCs w:val="21"/>
          <w:lang w:val="en-US" w:eastAsia="zh-CN"/>
        </w:rPr>
        <w:t>分）：项目实施方案（包括项目整体方案、技术方案、项目管理机构、物流管理、项目实施进度）符合现场实际情况，详细完整、合理、切实可行，方案详细完善、具体合理，有很好的进度计划实施控制保证方案，能明确工期目标的实现，保障措施得当具体，安装方案先进可行，符合采购单位实际情况，材料进场、安装及保护方案具体详细，进度安排优于采购单位要求，能够提供所需木板板材的甲醛释放量不超过0.05ppm，HDPE板材可迁移元素、增塑剂检测符合GB 6675.1-2014《玩具安全第1部分</w:t>
      </w:r>
      <w:r>
        <w:rPr>
          <w:rFonts w:hint="eastAsia" w:ascii="宋体" w:hAnsi="宋体" w:cs="宋体"/>
          <w:b w:val="0"/>
          <w:bCs/>
          <w:color w:val="auto"/>
          <w:sz w:val="21"/>
          <w:szCs w:val="21"/>
          <w:lang w:val="en-US" w:eastAsia="zh-CN"/>
        </w:rPr>
        <w:t>：</w:t>
      </w:r>
      <w:r>
        <w:rPr>
          <w:rFonts w:hint="eastAsia" w:ascii="宋体" w:hAnsi="宋体" w:eastAsia="宋体" w:cs="宋体"/>
          <w:b w:val="0"/>
          <w:bCs/>
          <w:color w:val="auto"/>
          <w:sz w:val="21"/>
          <w:szCs w:val="21"/>
          <w:lang w:val="en-US" w:eastAsia="zh-CN"/>
        </w:rPr>
        <w:t>基本规范》、GB6675.4-2014《玩具安全第4部分</w:t>
      </w:r>
      <w:r>
        <w:rPr>
          <w:rFonts w:hint="eastAsia" w:ascii="宋体" w:hAnsi="宋体" w:cs="宋体"/>
          <w:b w:val="0"/>
          <w:bCs/>
          <w:color w:val="auto"/>
          <w:sz w:val="21"/>
          <w:szCs w:val="21"/>
          <w:lang w:val="en-US" w:eastAsia="zh-CN"/>
        </w:rPr>
        <w:t>：</w:t>
      </w:r>
      <w:r>
        <w:rPr>
          <w:rFonts w:hint="eastAsia" w:ascii="宋体" w:hAnsi="宋体" w:eastAsia="宋体" w:cs="宋体"/>
          <w:b w:val="0"/>
          <w:bCs/>
          <w:color w:val="auto"/>
          <w:sz w:val="21"/>
          <w:szCs w:val="21"/>
          <w:lang w:val="en-US" w:eastAsia="zh-CN"/>
        </w:rPr>
        <w:t xml:space="preserve">特定元素的迁移》标准，亚克力板阻燃性（水平法）标准达到HB级及以上的检测报告复印件（加盖供应商公章）。 </w:t>
      </w:r>
    </w:p>
    <w:p w14:paraId="1B6D7E7F">
      <w:pPr>
        <w:keepNext w:val="0"/>
        <w:keepLines w:val="0"/>
        <w:pageBreakBefore w:val="0"/>
        <w:widowControl w:val="0"/>
        <w:kinsoku/>
        <w:wordWrap/>
        <w:overflowPunct/>
        <w:topLinePunct w:val="0"/>
        <w:autoSpaceDE/>
        <w:autoSpaceDN/>
        <w:bidi w:val="0"/>
        <w:adjustRightInd w:val="0"/>
        <w:snapToGrid/>
        <w:spacing w:line="380" w:lineRule="exact"/>
        <w:ind w:left="0" w:firstLine="422" w:firstLineChars="200"/>
        <w:jc w:val="both"/>
        <w:textAlignment w:val="baseline"/>
        <w:rPr>
          <w:rFonts w:hint="eastAsia" w:ascii="宋体" w:hAnsi="宋体" w:eastAsia="宋体" w:cs="宋体"/>
          <w:b/>
          <w:bCs w:val="0"/>
          <w:color w:val="auto"/>
          <w:kern w:val="0"/>
          <w:sz w:val="21"/>
          <w:szCs w:val="21"/>
          <w:lang w:val="en-US" w:eastAsia="zh-CN" w:bidi="ar-SA"/>
        </w:rPr>
      </w:pPr>
      <w:r>
        <w:rPr>
          <w:rFonts w:hint="eastAsia" w:ascii="宋体" w:hAnsi="宋体" w:eastAsia="宋体" w:cs="宋体"/>
          <w:b/>
          <w:bCs w:val="0"/>
          <w:color w:val="auto"/>
          <w:kern w:val="0"/>
          <w:sz w:val="21"/>
          <w:szCs w:val="21"/>
          <w:lang w:val="en-US" w:eastAsia="zh-CN" w:bidi="ar-SA"/>
        </w:rPr>
        <w:t>（2）设计方案分（满分31分）</w:t>
      </w:r>
    </w:p>
    <w:p w14:paraId="5119E329">
      <w:pPr>
        <w:keepNext w:val="0"/>
        <w:keepLines w:val="0"/>
        <w:pageBreakBefore w:val="0"/>
        <w:widowControl w:val="0"/>
        <w:numPr>
          <w:ilvl w:val="0"/>
          <w:numId w:val="0"/>
        </w:numPr>
        <w:kinsoku/>
        <w:wordWrap/>
        <w:overflowPunct/>
        <w:topLinePunct w:val="0"/>
        <w:autoSpaceDE/>
        <w:autoSpaceDN/>
        <w:bidi w:val="0"/>
        <w:adjustRightInd w:val="0"/>
        <w:snapToGrid/>
        <w:spacing w:line="380" w:lineRule="exact"/>
        <w:ind w:firstLine="420" w:firstLineChars="200"/>
        <w:jc w:val="both"/>
        <w:textAlignment w:val="baseline"/>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lang w:eastAsia="zh-CN"/>
        </w:rPr>
        <w:t>未提供方案或提供方案达不到一档要求的不得分。</w:t>
      </w:r>
    </w:p>
    <w:p w14:paraId="28C8D1F7">
      <w:pPr>
        <w:keepNext w:val="0"/>
        <w:keepLines w:val="0"/>
        <w:pageBreakBefore w:val="0"/>
        <w:widowControl w:val="0"/>
        <w:numPr>
          <w:ilvl w:val="0"/>
          <w:numId w:val="0"/>
        </w:numPr>
        <w:kinsoku/>
        <w:wordWrap/>
        <w:overflowPunct/>
        <w:topLinePunct w:val="0"/>
        <w:autoSpaceDE/>
        <w:autoSpaceDN/>
        <w:bidi w:val="0"/>
        <w:adjustRightInd w:val="0"/>
        <w:snapToGrid/>
        <w:spacing w:line="380" w:lineRule="exact"/>
        <w:ind w:firstLine="420" w:firstLineChars="200"/>
        <w:jc w:val="both"/>
        <w:textAlignment w:val="baseline"/>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一档（</w:t>
      </w:r>
      <w:r>
        <w:rPr>
          <w:rFonts w:hint="eastAsia" w:ascii="宋体" w:hAnsi="宋体" w:cs="宋体"/>
          <w:b w:val="0"/>
          <w:bCs/>
          <w:color w:val="auto"/>
          <w:sz w:val="21"/>
          <w:szCs w:val="21"/>
          <w:lang w:val="en-US" w:eastAsia="zh-CN"/>
        </w:rPr>
        <w:t>7</w:t>
      </w:r>
      <w:r>
        <w:rPr>
          <w:rFonts w:hint="eastAsia" w:ascii="宋体" w:hAnsi="宋体" w:eastAsia="宋体" w:cs="宋体"/>
          <w:b w:val="0"/>
          <w:bCs/>
          <w:color w:val="auto"/>
          <w:sz w:val="21"/>
          <w:szCs w:val="21"/>
          <w:lang w:val="en-US" w:eastAsia="zh-CN"/>
        </w:rPr>
        <w:t>分）</w:t>
      </w:r>
      <w:r>
        <w:rPr>
          <w:rFonts w:hint="eastAsia" w:ascii="宋体" w:hAnsi="宋体" w:cs="宋体"/>
          <w:b w:val="0"/>
          <w:bCs/>
          <w:color w:val="auto"/>
          <w:sz w:val="21"/>
          <w:szCs w:val="21"/>
          <w:lang w:val="en-US" w:eastAsia="zh-CN"/>
        </w:rPr>
        <w:t>：供应商</w:t>
      </w:r>
      <w:r>
        <w:rPr>
          <w:rFonts w:hint="eastAsia" w:ascii="宋体" w:hAnsi="宋体" w:eastAsia="宋体" w:cs="宋体"/>
          <w:b w:val="0"/>
          <w:bCs/>
          <w:color w:val="auto"/>
          <w:sz w:val="21"/>
          <w:szCs w:val="21"/>
          <w:lang w:val="en-US" w:eastAsia="zh-CN"/>
        </w:rPr>
        <w:t>提供的</w:t>
      </w:r>
      <w:r>
        <w:rPr>
          <w:rFonts w:hint="eastAsia" w:ascii="宋体" w:hAnsi="宋体" w:cs="宋体"/>
          <w:b w:val="0"/>
          <w:bCs/>
          <w:color w:val="auto"/>
          <w:sz w:val="21"/>
          <w:szCs w:val="21"/>
          <w:lang w:val="en-US" w:eastAsia="zh-CN"/>
        </w:rPr>
        <w:t>设计</w:t>
      </w:r>
      <w:r>
        <w:rPr>
          <w:rFonts w:hint="eastAsia" w:ascii="宋体" w:hAnsi="宋体" w:eastAsia="宋体" w:cs="宋体"/>
          <w:b w:val="0"/>
          <w:bCs/>
          <w:color w:val="auto"/>
          <w:sz w:val="21"/>
          <w:szCs w:val="21"/>
          <w:lang w:val="en-US" w:eastAsia="zh-CN"/>
        </w:rPr>
        <w:t>方案不符合采购需求</w:t>
      </w:r>
      <w:r>
        <w:rPr>
          <w:rFonts w:hint="eastAsia" w:ascii="宋体" w:hAnsi="宋体" w:cs="宋体"/>
          <w:b w:val="0"/>
          <w:bCs/>
          <w:color w:val="auto"/>
          <w:sz w:val="21"/>
          <w:szCs w:val="21"/>
          <w:lang w:val="en-US" w:eastAsia="zh-CN"/>
        </w:rPr>
        <w:t>、过于简单</w:t>
      </w:r>
      <w:r>
        <w:rPr>
          <w:rFonts w:hint="eastAsia" w:ascii="宋体" w:hAnsi="宋体" w:eastAsia="宋体" w:cs="宋体"/>
          <w:b w:val="0"/>
          <w:bCs/>
          <w:color w:val="auto"/>
          <w:sz w:val="21"/>
          <w:szCs w:val="21"/>
          <w:lang w:val="en-US" w:eastAsia="zh-CN"/>
        </w:rPr>
        <w:t>或者不切实际。</w:t>
      </w:r>
    </w:p>
    <w:p w14:paraId="4C28B49C">
      <w:pPr>
        <w:keepNext w:val="0"/>
        <w:keepLines w:val="0"/>
        <w:pageBreakBefore w:val="0"/>
        <w:widowControl w:val="0"/>
        <w:numPr>
          <w:ilvl w:val="0"/>
          <w:numId w:val="0"/>
        </w:numPr>
        <w:kinsoku/>
        <w:wordWrap/>
        <w:overflowPunct/>
        <w:topLinePunct w:val="0"/>
        <w:autoSpaceDE/>
        <w:autoSpaceDN/>
        <w:bidi w:val="0"/>
        <w:adjustRightInd w:val="0"/>
        <w:snapToGrid/>
        <w:spacing w:line="380" w:lineRule="exact"/>
        <w:ind w:firstLine="420" w:firstLineChars="200"/>
        <w:jc w:val="both"/>
        <w:textAlignment w:val="baseline"/>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二档（</w:t>
      </w:r>
      <w:r>
        <w:rPr>
          <w:rFonts w:hint="eastAsia" w:ascii="宋体" w:hAnsi="宋体" w:cs="宋体"/>
          <w:b w:val="0"/>
          <w:bCs/>
          <w:color w:val="auto"/>
          <w:sz w:val="21"/>
          <w:szCs w:val="21"/>
          <w:lang w:val="en-US" w:eastAsia="zh-CN"/>
        </w:rPr>
        <w:t>15</w:t>
      </w:r>
      <w:r>
        <w:rPr>
          <w:rFonts w:hint="eastAsia" w:ascii="宋体" w:hAnsi="宋体" w:eastAsia="宋体" w:cs="宋体"/>
          <w:b w:val="0"/>
          <w:bCs/>
          <w:color w:val="auto"/>
          <w:sz w:val="21"/>
          <w:szCs w:val="21"/>
          <w:lang w:val="en-US" w:eastAsia="zh-CN"/>
        </w:rPr>
        <w:t>分）</w:t>
      </w:r>
      <w:r>
        <w:rPr>
          <w:rFonts w:hint="eastAsia" w:ascii="宋体" w:hAnsi="宋体" w:cs="宋体"/>
          <w:b w:val="0"/>
          <w:bCs/>
          <w:color w:val="auto"/>
          <w:sz w:val="21"/>
          <w:szCs w:val="21"/>
          <w:lang w:val="en-US" w:eastAsia="zh-CN"/>
        </w:rPr>
        <w:t>：供应商</w:t>
      </w:r>
      <w:r>
        <w:rPr>
          <w:rFonts w:hint="eastAsia" w:ascii="宋体" w:hAnsi="宋体" w:eastAsia="宋体" w:cs="宋体"/>
          <w:b w:val="0"/>
          <w:bCs/>
          <w:color w:val="auto"/>
          <w:sz w:val="21"/>
          <w:szCs w:val="21"/>
          <w:lang w:val="en-US" w:eastAsia="zh-CN"/>
        </w:rPr>
        <w:t>提供的</w:t>
      </w:r>
      <w:r>
        <w:rPr>
          <w:rFonts w:hint="eastAsia" w:ascii="宋体" w:hAnsi="宋体" w:cs="宋体"/>
          <w:b w:val="0"/>
          <w:bCs/>
          <w:color w:val="auto"/>
          <w:sz w:val="21"/>
          <w:szCs w:val="21"/>
          <w:lang w:val="en-US" w:eastAsia="zh-CN"/>
        </w:rPr>
        <w:t>设计</w:t>
      </w:r>
      <w:r>
        <w:rPr>
          <w:rFonts w:hint="eastAsia" w:ascii="宋体" w:hAnsi="宋体" w:eastAsia="宋体" w:cs="宋体"/>
          <w:b w:val="0"/>
          <w:bCs/>
          <w:color w:val="auto"/>
          <w:sz w:val="21"/>
          <w:szCs w:val="21"/>
          <w:lang w:val="en-US" w:eastAsia="zh-CN"/>
        </w:rPr>
        <w:t>方案基本满足项目需求，包含简单的</w:t>
      </w:r>
      <w:r>
        <w:rPr>
          <w:rFonts w:hint="eastAsia" w:ascii="宋体" w:hAnsi="宋体" w:cs="宋体"/>
          <w:b w:val="0"/>
          <w:bCs/>
          <w:color w:val="auto"/>
          <w:sz w:val="21"/>
          <w:szCs w:val="21"/>
          <w:lang w:val="en-US" w:eastAsia="zh-CN"/>
        </w:rPr>
        <w:t>效果图和设计理念描述</w:t>
      </w:r>
      <w:r>
        <w:rPr>
          <w:rFonts w:hint="eastAsia" w:ascii="宋体" w:hAnsi="宋体" w:eastAsia="宋体" w:cs="宋体"/>
          <w:b w:val="0"/>
          <w:bCs/>
          <w:color w:val="auto"/>
          <w:sz w:val="21"/>
          <w:szCs w:val="21"/>
          <w:lang w:val="en-US" w:eastAsia="zh-CN"/>
        </w:rPr>
        <w:t>等，整体方案可实施性较弱。</w:t>
      </w:r>
    </w:p>
    <w:p w14:paraId="59071072">
      <w:pPr>
        <w:keepNext w:val="0"/>
        <w:keepLines w:val="0"/>
        <w:pageBreakBefore w:val="0"/>
        <w:widowControl w:val="0"/>
        <w:numPr>
          <w:ilvl w:val="0"/>
          <w:numId w:val="0"/>
        </w:numPr>
        <w:kinsoku/>
        <w:wordWrap/>
        <w:overflowPunct/>
        <w:topLinePunct w:val="0"/>
        <w:autoSpaceDE/>
        <w:autoSpaceDN/>
        <w:bidi w:val="0"/>
        <w:adjustRightInd w:val="0"/>
        <w:snapToGrid/>
        <w:spacing w:line="380" w:lineRule="exact"/>
        <w:ind w:firstLine="420" w:firstLineChars="200"/>
        <w:jc w:val="both"/>
        <w:textAlignment w:val="baseline"/>
        <w:rPr>
          <w:rFonts w:hint="default"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三档（</w:t>
      </w:r>
      <w:r>
        <w:rPr>
          <w:rFonts w:hint="eastAsia" w:ascii="宋体" w:hAnsi="宋体" w:cs="宋体"/>
          <w:b w:val="0"/>
          <w:bCs/>
          <w:color w:val="auto"/>
          <w:sz w:val="21"/>
          <w:szCs w:val="21"/>
          <w:lang w:val="en-US" w:eastAsia="zh-CN"/>
        </w:rPr>
        <w:t>23</w:t>
      </w:r>
      <w:r>
        <w:rPr>
          <w:rFonts w:hint="eastAsia" w:ascii="宋体" w:hAnsi="宋体" w:eastAsia="宋体" w:cs="宋体"/>
          <w:b w:val="0"/>
          <w:bCs/>
          <w:color w:val="auto"/>
          <w:sz w:val="21"/>
          <w:szCs w:val="21"/>
          <w:lang w:val="en-US" w:eastAsia="zh-CN"/>
        </w:rPr>
        <w:t>分）</w:t>
      </w:r>
      <w:r>
        <w:rPr>
          <w:rFonts w:hint="eastAsia" w:ascii="宋体" w:hAnsi="宋体" w:cs="宋体"/>
          <w:b w:val="0"/>
          <w:bCs/>
          <w:color w:val="auto"/>
          <w:sz w:val="21"/>
          <w:szCs w:val="21"/>
          <w:lang w:val="en-US" w:eastAsia="zh-CN"/>
        </w:rPr>
        <w:t>：供应商</w:t>
      </w:r>
      <w:r>
        <w:rPr>
          <w:rFonts w:hint="eastAsia" w:ascii="宋体" w:hAnsi="宋体" w:eastAsia="宋体" w:cs="宋体"/>
          <w:b w:val="0"/>
          <w:bCs/>
          <w:color w:val="auto"/>
          <w:sz w:val="21"/>
          <w:szCs w:val="21"/>
          <w:lang w:val="en-US" w:eastAsia="zh-CN"/>
        </w:rPr>
        <w:t>提供</w:t>
      </w:r>
      <w:r>
        <w:rPr>
          <w:rFonts w:hint="eastAsia" w:ascii="宋体" w:hAnsi="宋体" w:cs="宋体"/>
          <w:b w:val="0"/>
          <w:bCs/>
          <w:color w:val="auto"/>
          <w:sz w:val="21"/>
          <w:szCs w:val="21"/>
          <w:lang w:val="en-US" w:eastAsia="zh-CN"/>
        </w:rPr>
        <w:t>的设计</w:t>
      </w:r>
      <w:r>
        <w:rPr>
          <w:rFonts w:hint="eastAsia" w:ascii="宋体" w:hAnsi="宋体" w:eastAsia="宋体" w:cs="宋体"/>
          <w:b w:val="0"/>
          <w:bCs/>
          <w:color w:val="auto"/>
          <w:sz w:val="21"/>
          <w:szCs w:val="21"/>
          <w:lang w:val="en-US" w:eastAsia="zh-CN"/>
        </w:rPr>
        <w:t>方案详细完善</w:t>
      </w:r>
      <w:r>
        <w:rPr>
          <w:rFonts w:hint="eastAsia" w:ascii="宋体" w:hAnsi="宋体" w:cs="宋体"/>
          <w:b w:val="0"/>
          <w:bCs/>
          <w:color w:val="auto"/>
          <w:sz w:val="21"/>
          <w:szCs w:val="21"/>
          <w:lang w:val="en-US" w:eastAsia="zh-CN"/>
        </w:rPr>
        <w:t>，包含效果图和设计理念描述，</w:t>
      </w:r>
      <w:r>
        <w:rPr>
          <w:rFonts w:hint="eastAsia" w:ascii="宋体" w:hAnsi="宋体" w:eastAsia="宋体" w:cs="宋体"/>
          <w:b w:val="0"/>
          <w:bCs/>
          <w:color w:val="auto"/>
          <w:sz w:val="21"/>
          <w:szCs w:val="21"/>
          <w:lang w:val="en-US" w:eastAsia="zh-CN"/>
        </w:rPr>
        <w:t>科学益智区</w:t>
      </w:r>
      <w:r>
        <w:rPr>
          <w:rFonts w:hint="eastAsia" w:ascii="宋体" w:hAnsi="宋体" w:cs="宋体"/>
          <w:b w:val="0"/>
          <w:bCs/>
          <w:color w:val="auto"/>
          <w:sz w:val="21"/>
          <w:szCs w:val="21"/>
          <w:lang w:val="en-US" w:eastAsia="zh-CN"/>
        </w:rPr>
        <w:t>1张及以上、时空隧道效果图1张及以上，</w:t>
      </w:r>
      <w:r>
        <w:rPr>
          <w:rFonts w:hint="eastAsia" w:ascii="宋体" w:hAnsi="宋体" w:eastAsia="宋体" w:cs="宋体"/>
          <w:b w:val="0"/>
          <w:bCs/>
          <w:color w:val="auto"/>
          <w:sz w:val="21"/>
          <w:szCs w:val="21"/>
          <w:lang w:val="en-US" w:eastAsia="zh-CN"/>
        </w:rPr>
        <w:t>方案全面、描述详细</w:t>
      </w:r>
      <w:r>
        <w:rPr>
          <w:rFonts w:hint="eastAsia" w:ascii="宋体" w:hAnsi="宋体" w:cs="宋体"/>
          <w:b w:val="0"/>
          <w:bCs/>
          <w:color w:val="auto"/>
          <w:sz w:val="21"/>
          <w:szCs w:val="21"/>
          <w:lang w:val="en-US" w:eastAsia="zh-CN"/>
        </w:rPr>
        <w:t>，效果图清晰</w:t>
      </w:r>
      <w:r>
        <w:rPr>
          <w:rFonts w:hint="eastAsia" w:ascii="宋体" w:hAnsi="宋体" w:eastAsia="宋体" w:cs="宋体"/>
          <w:b w:val="0"/>
          <w:bCs/>
          <w:color w:val="auto"/>
          <w:sz w:val="21"/>
          <w:szCs w:val="21"/>
          <w:lang w:val="en-US" w:eastAsia="zh-CN"/>
        </w:rPr>
        <w:t>，可行性较高</w:t>
      </w:r>
      <w:r>
        <w:rPr>
          <w:rFonts w:hint="eastAsia" w:ascii="宋体" w:hAnsi="宋体" w:cs="宋体"/>
          <w:b w:val="0"/>
          <w:bCs/>
          <w:color w:val="auto"/>
          <w:sz w:val="21"/>
          <w:szCs w:val="21"/>
          <w:lang w:val="en-US" w:eastAsia="zh-CN"/>
        </w:rPr>
        <w:t>，结合了3岁以下婴幼儿身心特性。</w:t>
      </w:r>
    </w:p>
    <w:p w14:paraId="4E3C8DA9">
      <w:pPr>
        <w:keepNext w:val="0"/>
        <w:keepLines w:val="0"/>
        <w:pageBreakBefore w:val="0"/>
        <w:widowControl w:val="0"/>
        <w:numPr>
          <w:ilvl w:val="0"/>
          <w:numId w:val="0"/>
        </w:numPr>
        <w:kinsoku/>
        <w:wordWrap/>
        <w:overflowPunct/>
        <w:topLinePunct w:val="0"/>
        <w:autoSpaceDE/>
        <w:autoSpaceDN/>
        <w:bidi w:val="0"/>
        <w:adjustRightInd w:val="0"/>
        <w:snapToGrid/>
        <w:spacing w:line="380" w:lineRule="exact"/>
        <w:ind w:firstLine="420" w:firstLineChars="200"/>
        <w:jc w:val="both"/>
        <w:textAlignment w:val="baseline"/>
        <w:rPr>
          <w:rFonts w:hint="eastAsia" w:ascii="宋体" w:hAnsi="宋体" w:eastAsia="宋体" w:cs="宋体"/>
          <w:b w:val="0"/>
          <w:bCs/>
          <w:color w:val="auto"/>
          <w:sz w:val="21"/>
          <w:szCs w:val="21"/>
          <w:lang w:val="en-US" w:eastAsia="zh-CN"/>
        </w:rPr>
      </w:pPr>
      <w:r>
        <w:rPr>
          <w:rFonts w:hint="eastAsia" w:ascii="宋体" w:hAnsi="宋体" w:cs="宋体"/>
          <w:b w:val="0"/>
          <w:bCs/>
          <w:color w:val="auto"/>
          <w:sz w:val="21"/>
          <w:szCs w:val="21"/>
          <w:lang w:val="en-US" w:eastAsia="zh-CN"/>
        </w:rPr>
        <w:t>四</w:t>
      </w:r>
      <w:r>
        <w:rPr>
          <w:rFonts w:hint="eastAsia" w:ascii="宋体" w:hAnsi="宋体" w:eastAsia="宋体" w:cs="宋体"/>
          <w:b w:val="0"/>
          <w:bCs/>
          <w:color w:val="auto"/>
          <w:sz w:val="21"/>
          <w:szCs w:val="21"/>
          <w:lang w:val="en-US" w:eastAsia="zh-CN"/>
        </w:rPr>
        <w:t>档（</w:t>
      </w:r>
      <w:r>
        <w:rPr>
          <w:rFonts w:hint="eastAsia" w:ascii="宋体" w:hAnsi="宋体" w:cs="宋体"/>
          <w:b w:val="0"/>
          <w:bCs/>
          <w:color w:val="auto"/>
          <w:sz w:val="21"/>
          <w:szCs w:val="21"/>
          <w:lang w:val="en-US" w:eastAsia="zh-CN"/>
        </w:rPr>
        <w:t>31</w:t>
      </w:r>
      <w:r>
        <w:rPr>
          <w:rFonts w:hint="eastAsia" w:ascii="宋体" w:hAnsi="宋体" w:eastAsia="宋体" w:cs="宋体"/>
          <w:b w:val="0"/>
          <w:bCs/>
          <w:color w:val="auto"/>
          <w:sz w:val="21"/>
          <w:szCs w:val="21"/>
          <w:lang w:val="en-US" w:eastAsia="zh-CN"/>
        </w:rPr>
        <w:t>分）</w:t>
      </w:r>
      <w:r>
        <w:rPr>
          <w:rFonts w:hint="eastAsia" w:ascii="宋体" w:hAnsi="宋体" w:cs="宋体"/>
          <w:b w:val="0"/>
          <w:bCs/>
          <w:color w:val="auto"/>
          <w:sz w:val="21"/>
          <w:szCs w:val="21"/>
          <w:lang w:val="en-US" w:eastAsia="zh-CN"/>
        </w:rPr>
        <w:t>供应商</w:t>
      </w:r>
      <w:r>
        <w:rPr>
          <w:rFonts w:hint="eastAsia" w:ascii="宋体" w:hAnsi="宋体" w:eastAsia="宋体" w:cs="宋体"/>
          <w:b w:val="0"/>
          <w:bCs/>
          <w:color w:val="auto"/>
          <w:sz w:val="21"/>
          <w:szCs w:val="21"/>
          <w:lang w:val="en-US" w:eastAsia="zh-CN"/>
        </w:rPr>
        <w:t>提供</w:t>
      </w:r>
      <w:r>
        <w:rPr>
          <w:rFonts w:hint="eastAsia" w:ascii="宋体" w:hAnsi="宋体" w:cs="宋体"/>
          <w:b w:val="0"/>
          <w:bCs/>
          <w:color w:val="auto"/>
          <w:sz w:val="21"/>
          <w:szCs w:val="21"/>
          <w:lang w:val="en-US" w:eastAsia="zh-CN"/>
        </w:rPr>
        <w:t>的设计</w:t>
      </w:r>
      <w:r>
        <w:rPr>
          <w:rFonts w:hint="eastAsia" w:ascii="宋体" w:hAnsi="宋体" w:eastAsia="宋体" w:cs="宋体"/>
          <w:b w:val="0"/>
          <w:bCs/>
          <w:color w:val="auto"/>
          <w:sz w:val="21"/>
          <w:szCs w:val="21"/>
          <w:lang w:val="en-US" w:eastAsia="zh-CN"/>
        </w:rPr>
        <w:t>方案详细、全面、完善</w:t>
      </w:r>
      <w:r>
        <w:rPr>
          <w:rFonts w:hint="eastAsia" w:ascii="宋体" w:hAnsi="宋体" w:cs="宋体"/>
          <w:b w:val="0"/>
          <w:bCs/>
          <w:color w:val="auto"/>
          <w:sz w:val="21"/>
          <w:szCs w:val="21"/>
          <w:lang w:val="en-US" w:eastAsia="zh-CN"/>
        </w:rPr>
        <w:t>，包含效果图和设计理念描述，</w:t>
      </w:r>
      <w:r>
        <w:rPr>
          <w:rFonts w:hint="eastAsia" w:ascii="宋体" w:hAnsi="宋体" w:eastAsia="宋体" w:cs="宋体"/>
          <w:b w:val="0"/>
          <w:bCs/>
          <w:color w:val="auto"/>
          <w:sz w:val="21"/>
          <w:szCs w:val="21"/>
          <w:lang w:val="en-US" w:eastAsia="zh-CN"/>
        </w:rPr>
        <w:t>科学益智区</w:t>
      </w:r>
      <w:r>
        <w:rPr>
          <w:rFonts w:hint="eastAsia" w:ascii="宋体" w:hAnsi="宋体" w:cs="宋体"/>
          <w:b w:val="0"/>
          <w:bCs/>
          <w:color w:val="auto"/>
          <w:sz w:val="21"/>
          <w:szCs w:val="21"/>
          <w:lang w:val="en-US" w:eastAsia="zh-CN"/>
        </w:rPr>
        <w:t>2张及以上（包含机械装置、点阵拼图、月相翻翻、转盘小球等）、时空隧道效果图2张及以上，方案</w:t>
      </w:r>
      <w:r>
        <w:rPr>
          <w:rFonts w:hint="eastAsia" w:ascii="宋体" w:hAnsi="宋体" w:eastAsia="宋体" w:cs="宋体"/>
          <w:b w:val="0"/>
          <w:bCs/>
          <w:color w:val="auto"/>
          <w:sz w:val="21"/>
          <w:szCs w:val="21"/>
          <w:lang w:val="en-US" w:eastAsia="zh-CN"/>
        </w:rPr>
        <w:t>针对性较强</w:t>
      </w:r>
      <w:r>
        <w:rPr>
          <w:rFonts w:hint="eastAsia" w:ascii="宋体" w:hAnsi="宋体" w:cs="宋体"/>
          <w:b w:val="0"/>
          <w:bCs/>
          <w:color w:val="auto"/>
          <w:sz w:val="21"/>
          <w:szCs w:val="21"/>
          <w:lang w:val="en-US" w:eastAsia="zh-CN"/>
        </w:rPr>
        <w:t>，设计理念科学、具有创新性，效果图精细美观，</w:t>
      </w:r>
      <w:r>
        <w:rPr>
          <w:rFonts w:hint="eastAsia" w:ascii="宋体" w:hAnsi="宋体" w:eastAsia="宋体" w:cs="宋体"/>
          <w:b w:val="0"/>
          <w:bCs/>
          <w:color w:val="auto"/>
          <w:sz w:val="21"/>
          <w:szCs w:val="21"/>
          <w:lang w:val="en-US" w:eastAsia="zh-CN"/>
        </w:rPr>
        <w:t>完全准确地理解</w:t>
      </w:r>
      <w:r>
        <w:rPr>
          <w:rFonts w:hint="eastAsia" w:ascii="宋体" w:hAnsi="宋体" w:cs="宋体"/>
          <w:b w:val="0"/>
          <w:bCs/>
          <w:color w:val="auto"/>
          <w:sz w:val="21"/>
          <w:szCs w:val="21"/>
          <w:lang w:val="en-US" w:eastAsia="zh-CN"/>
        </w:rPr>
        <w:t>结合了3岁以下婴幼儿身心特性。</w:t>
      </w:r>
    </w:p>
    <w:p w14:paraId="2EF2881E">
      <w:pPr>
        <w:keepNext w:val="0"/>
        <w:keepLines w:val="0"/>
        <w:pageBreakBefore w:val="0"/>
        <w:widowControl w:val="0"/>
        <w:numPr>
          <w:ilvl w:val="0"/>
          <w:numId w:val="0"/>
        </w:numPr>
        <w:kinsoku/>
        <w:wordWrap/>
        <w:overflowPunct/>
        <w:topLinePunct w:val="0"/>
        <w:autoSpaceDE/>
        <w:autoSpaceDN/>
        <w:bidi w:val="0"/>
        <w:adjustRightInd w:val="0"/>
        <w:snapToGrid/>
        <w:spacing w:line="380" w:lineRule="exact"/>
        <w:ind w:firstLine="422" w:firstLineChars="200"/>
        <w:jc w:val="both"/>
        <w:textAlignment w:val="baseline"/>
        <w:rPr>
          <w:rFonts w:hint="eastAsia" w:ascii="宋体" w:hAnsi="宋体" w:eastAsia="宋体" w:cs="宋体"/>
          <w:b/>
          <w:bCs w:val="0"/>
          <w:i w:val="0"/>
          <w:iCs w:val="0"/>
          <w:caps w:val="0"/>
          <w:color w:val="auto"/>
          <w:spacing w:val="0"/>
          <w:kern w:val="0"/>
          <w:sz w:val="21"/>
          <w:szCs w:val="21"/>
          <w:shd w:val="clear"/>
        </w:rPr>
      </w:pPr>
      <w:r>
        <w:rPr>
          <w:rFonts w:hint="eastAsia" w:ascii="宋体" w:hAnsi="宋体" w:eastAsia="宋体" w:cs="宋体"/>
          <w:b/>
          <w:bCs w:val="0"/>
          <w:color w:val="auto"/>
          <w:sz w:val="21"/>
          <w:szCs w:val="21"/>
          <w:lang w:eastAsia="zh-CN"/>
        </w:rPr>
        <w:t>（</w:t>
      </w:r>
      <w:r>
        <w:rPr>
          <w:rFonts w:hint="eastAsia" w:ascii="宋体" w:hAnsi="宋体" w:cs="宋体"/>
          <w:b/>
          <w:bCs w:val="0"/>
          <w:color w:val="auto"/>
          <w:sz w:val="21"/>
          <w:szCs w:val="21"/>
          <w:lang w:val="en-US" w:eastAsia="zh-CN"/>
        </w:rPr>
        <w:t>3</w:t>
      </w:r>
      <w:r>
        <w:rPr>
          <w:rFonts w:hint="eastAsia" w:ascii="宋体" w:hAnsi="宋体" w:eastAsia="宋体" w:cs="宋体"/>
          <w:b/>
          <w:bCs w:val="0"/>
          <w:color w:val="auto"/>
          <w:sz w:val="21"/>
          <w:szCs w:val="21"/>
          <w:lang w:eastAsia="zh-CN"/>
        </w:rPr>
        <w:t>）</w:t>
      </w:r>
      <w:r>
        <w:rPr>
          <w:rFonts w:hint="eastAsia" w:ascii="宋体" w:hAnsi="宋体" w:eastAsia="宋体" w:cs="宋体"/>
          <w:b/>
          <w:bCs w:val="0"/>
          <w:i w:val="0"/>
          <w:iCs w:val="0"/>
          <w:caps w:val="0"/>
          <w:color w:val="auto"/>
          <w:spacing w:val="0"/>
          <w:kern w:val="0"/>
          <w:sz w:val="21"/>
          <w:szCs w:val="21"/>
          <w:shd w:val="clear"/>
        </w:rPr>
        <w:t>售后技术服务方案分（满分2</w:t>
      </w:r>
      <w:r>
        <w:rPr>
          <w:rFonts w:hint="eastAsia" w:ascii="宋体" w:hAnsi="宋体" w:cs="宋体"/>
          <w:b/>
          <w:bCs w:val="0"/>
          <w:i w:val="0"/>
          <w:iCs w:val="0"/>
          <w:caps w:val="0"/>
          <w:color w:val="auto"/>
          <w:spacing w:val="0"/>
          <w:kern w:val="0"/>
          <w:sz w:val="21"/>
          <w:szCs w:val="21"/>
          <w:shd w:val="clear"/>
          <w:lang w:val="en-US" w:eastAsia="zh-CN"/>
        </w:rPr>
        <w:t>5</w:t>
      </w:r>
      <w:r>
        <w:rPr>
          <w:rFonts w:hint="eastAsia" w:ascii="宋体" w:hAnsi="宋体" w:eastAsia="宋体" w:cs="宋体"/>
          <w:b/>
          <w:bCs w:val="0"/>
          <w:i w:val="0"/>
          <w:iCs w:val="0"/>
          <w:caps w:val="0"/>
          <w:color w:val="auto"/>
          <w:spacing w:val="0"/>
          <w:kern w:val="0"/>
          <w:sz w:val="21"/>
          <w:szCs w:val="21"/>
          <w:shd w:val="clear"/>
        </w:rPr>
        <w:t>分）</w:t>
      </w:r>
    </w:p>
    <w:p w14:paraId="5E363A4B">
      <w:pPr>
        <w:keepNext w:val="0"/>
        <w:keepLines w:val="0"/>
        <w:pageBreakBefore w:val="0"/>
        <w:widowControl w:val="0"/>
        <w:numPr>
          <w:ilvl w:val="0"/>
          <w:numId w:val="0"/>
        </w:numPr>
        <w:kinsoku/>
        <w:wordWrap/>
        <w:overflowPunct/>
        <w:topLinePunct w:val="0"/>
        <w:autoSpaceDE/>
        <w:autoSpaceDN/>
        <w:bidi w:val="0"/>
        <w:adjustRightInd w:val="0"/>
        <w:snapToGrid/>
        <w:spacing w:line="380" w:lineRule="exact"/>
        <w:ind w:firstLine="420" w:firstLineChars="200"/>
        <w:jc w:val="both"/>
        <w:textAlignment w:val="baseline"/>
        <w:rPr>
          <w:rFonts w:hint="eastAsia" w:ascii="宋体" w:hAnsi="宋体" w:eastAsia="宋体" w:cs="宋体"/>
          <w:bCs/>
          <w:i w:val="0"/>
          <w:iCs w:val="0"/>
          <w:caps w:val="0"/>
          <w:color w:val="auto"/>
          <w:spacing w:val="0"/>
          <w:kern w:val="0"/>
          <w:sz w:val="21"/>
          <w:szCs w:val="21"/>
          <w:shd w:val="clear"/>
        </w:rPr>
      </w:pPr>
      <w:r>
        <w:rPr>
          <w:rFonts w:hint="eastAsia" w:ascii="宋体" w:hAnsi="宋体" w:eastAsia="宋体" w:cs="宋体"/>
          <w:bCs/>
          <w:i w:val="0"/>
          <w:iCs w:val="0"/>
          <w:caps w:val="0"/>
          <w:color w:val="auto"/>
          <w:spacing w:val="0"/>
          <w:kern w:val="0"/>
          <w:sz w:val="21"/>
          <w:szCs w:val="21"/>
          <w:shd w:val="clear"/>
        </w:rPr>
        <w:t>未提供方案或提供方案达不到一档要求的不得分。</w:t>
      </w:r>
    </w:p>
    <w:p w14:paraId="40769C41">
      <w:pPr>
        <w:keepNext w:val="0"/>
        <w:keepLines w:val="0"/>
        <w:pageBreakBefore w:val="0"/>
        <w:widowControl w:val="0"/>
        <w:numPr>
          <w:ilvl w:val="0"/>
          <w:numId w:val="0"/>
        </w:numPr>
        <w:kinsoku/>
        <w:wordWrap/>
        <w:overflowPunct/>
        <w:topLinePunct w:val="0"/>
        <w:autoSpaceDE/>
        <w:autoSpaceDN/>
        <w:bidi w:val="0"/>
        <w:adjustRightInd w:val="0"/>
        <w:snapToGrid/>
        <w:spacing w:line="380" w:lineRule="exact"/>
        <w:ind w:firstLine="420" w:firstLineChars="200"/>
        <w:jc w:val="both"/>
        <w:textAlignment w:val="baseline"/>
        <w:rPr>
          <w:rFonts w:hint="eastAsia" w:ascii="宋体" w:hAnsi="宋体" w:eastAsia="宋体" w:cs="宋体"/>
          <w:bCs/>
          <w:i w:val="0"/>
          <w:iCs w:val="0"/>
          <w:caps w:val="0"/>
          <w:color w:val="auto"/>
          <w:spacing w:val="0"/>
          <w:kern w:val="0"/>
          <w:sz w:val="21"/>
          <w:szCs w:val="21"/>
          <w:shd w:val="clear"/>
        </w:rPr>
      </w:pPr>
      <w:r>
        <w:rPr>
          <w:rFonts w:hint="eastAsia" w:ascii="宋体" w:hAnsi="宋体" w:eastAsia="宋体" w:cs="宋体"/>
          <w:bCs/>
          <w:i w:val="0"/>
          <w:iCs w:val="0"/>
          <w:caps w:val="0"/>
          <w:color w:val="auto"/>
          <w:spacing w:val="0"/>
          <w:kern w:val="0"/>
          <w:sz w:val="21"/>
          <w:szCs w:val="21"/>
          <w:shd w:val="clear"/>
        </w:rPr>
        <w:t>一档（</w:t>
      </w:r>
      <w:r>
        <w:rPr>
          <w:rFonts w:hint="eastAsia" w:ascii="宋体" w:hAnsi="宋体" w:cs="宋体"/>
          <w:bCs/>
          <w:i w:val="0"/>
          <w:iCs w:val="0"/>
          <w:caps w:val="0"/>
          <w:color w:val="auto"/>
          <w:spacing w:val="0"/>
          <w:kern w:val="0"/>
          <w:sz w:val="21"/>
          <w:szCs w:val="21"/>
          <w:shd w:val="clear"/>
          <w:lang w:val="en-US" w:eastAsia="zh-CN"/>
        </w:rPr>
        <w:t>15</w:t>
      </w:r>
      <w:r>
        <w:rPr>
          <w:rFonts w:hint="eastAsia" w:ascii="宋体" w:hAnsi="宋体" w:eastAsia="宋体" w:cs="宋体"/>
          <w:bCs/>
          <w:i w:val="0"/>
          <w:iCs w:val="0"/>
          <w:caps w:val="0"/>
          <w:color w:val="auto"/>
          <w:spacing w:val="0"/>
          <w:kern w:val="0"/>
          <w:sz w:val="21"/>
          <w:szCs w:val="21"/>
          <w:shd w:val="clear"/>
        </w:rPr>
        <w:t>分）：提供售后服务方案，方案包含有应急处置方案、服务保障方案、售后服务响应方案简单</w:t>
      </w:r>
      <w:r>
        <w:rPr>
          <w:rFonts w:hint="eastAsia" w:ascii="宋体" w:hAnsi="宋体" w:cs="宋体"/>
          <w:bCs/>
          <w:i w:val="0"/>
          <w:iCs w:val="0"/>
          <w:caps w:val="0"/>
          <w:color w:val="auto"/>
          <w:spacing w:val="0"/>
          <w:kern w:val="0"/>
          <w:sz w:val="21"/>
          <w:szCs w:val="21"/>
          <w:shd w:val="clear"/>
          <w:lang w:val="en-US" w:eastAsia="zh-CN"/>
        </w:rPr>
        <w:t>或不符合实际要求</w:t>
      </w:r>
      <w:r>
        <w:rPr>
          <w:rFonts w:hint="eastAsia" w:ascii="宋体" w:hAnsi="宋体" w:eastAsia="宋体" w:cs="宋体"/>
          <w:bCs/>
          <w:i w:val="0"/>
          <w:iCs w:val="0"/>
          <w:caps w:val="0"/>
          <w:color w:val="auto"/>
          <w:spacing w:val="0"/>
          <w:kern w:val="0"/>
          <w:sz w:val="21"/>
          <w:szCs w:val="21"/>
          <w:shd w:val="clear"/>
        </w:rPr>
        <w:t>，基本满足项目需求。</w:t>
      </w:r>
    </w:p>
    <w:p w14:paraId="75CD9E72">
      <w:pPr>
        <w:keepNext w:val="0"/>
        <w:keepLines w:val="0"/>
        <w:pageBreakBefore w:val="0"/>
        <w:widowControl w:val="0"/>
        <w:numPr>
          <w:ilvl w:val="0"/>
          <w:numId w:val="0"/>
        </w:numPr>
        <w:kinsoku/>
        <w:wordWrap/>
        <w:overflowPunct/>
        <w:topLinePunct w:val="0"/>
        <w:autoSpaceDE/>
        <w:autoSpaceDN/>
        <w:bidi w:val="0"/>
        <w:adjustRightInd w:val="0"/>
        <w:snapToGrid/>
        <w:spacing w:line="380" w:lineRule="exact"/>
        <w:ind w:firstLine="420" w:firstLineChars="200"/>
        <w:jc w:val="both"/>
        <w:textAlignment w:val="baseline"/>
        <w:rPr>
          <w:rFonts w:hint="eastAsia" w:ascii="宋体" w:hAnsi="宋体" w:eastAsia="宋体" w:cs="宋体"/>
          <w:bCs/>
          <w:i w:val="0"/>
          <w:iCs w:val="0"/>
          <w:caps w:val="0"/>
          <w:color w:val="auto"/>
          <w:spacing w:val="0"/>
          <w:kern w:val="0"/>
          <w:sz w:val="21"/>
          <w:szCs w:val="21"/>
          <w:shd w:val="clear"/>
        </w:rPr>
      </w:pPr>
      <w:r>
        <w:rPr>
          <w:rFonts w:hint="eastAsia" w:ascii="宋体" w:hAnsi="宋体" w:eastAsia="宋体" w:cs="宋体"/>
          <w:bCs/>
          <w:i w:val="0"/>
          <w:iCs w:val="0"/>
          <w:caps w:val="0"/>
          <w:color w:val="auto"/>
          <w:spacing w:val="0"/>
          <w:kern w:val="0"/>
          <w:sz w:val="21"/>
          <w:szCs w:val="21"/>
          <w:shd w:val="clear"/>
        </w:rPr>
        <w:t>二档（</w:t>
      </w:r>
      <w:r>
        <w:rPr>
          <w:rFonts w:hint="eastAsia" w:ascii="宋体" w:hAnsi="宋体" w:cs="宋体"/>
          <w:bCs/>
          <w:i w:val="0"/>
          <w:iCs w:val="0"/>
          <w:caps w:val="0"/>
          <w:color w:val="auto"/>
          <w:spacing w:val="0"/>
          <w:kern w:val="0"/>
          <w:sz w:val="21"/>
          <w:szCs w:val="21"/>
          <w:shd w:val="clear"/>
          <w:lang w:val="en-US" w:eastAsia="zh-CN"/>
        </w:rPr>
        <w:t>20</w:t>
      </w:r>
      <w:r>
        <w:rPr>
          <w:rFonts w:hint="eastAsia" w:ascii="宋体" w:hAnsi="宋体" w:eastAsia="宋体" w:cs="宋体"/>
          <w:bCs/>
          <w:i w:val="0"/>
          <w:iCs w:val="0"/>
          <w:caps w:val="0"/>
          <w:color w:val="auto"/>
          <w:spacing w:val="0"/>
          <w:kern w:val="0"/>
          <w:sz w:val="21"/>
          <w:szCs w:val="21"/>
          <w:shd w:val="clear"/>
        </w:rPr>
        <w:t>分）：提供售后服务方案，方案包含有应急处置方案、服务保障方案、售后服务响应方案、保密方案，方案可行性强，具有本地化服务</w:t>
      </w:r>
      <w:r>
        <w:rPr>
          <w:rFonts w:hint="eastAsia" w:ascii="宋体" w:hAnsi="宋体" w:cs="宋体"/>
          <w:bCs/>
          <w:i w:val="0"/>
          <w:iCs w:val="0"/>
          <w:caps w:val="0"/>
          <w:color w:val="auto"/>
          <w:spacing w:val="0"/>
          <w:kern w:val="0"/>
          <w:sz w:val="21"/>
          <w:szCs w:val="21"/>
          <w:shd w:val="clear"/>
          <w:lang w:val="en-US" w:eastAsia="zh-CN"/>
        </w:rPr>
        <w:t>承诺</w:t>
      </w:r>
      <w:r>
        <w:rPr>
          <w:rFonts w:hint="eastAsia" w:ascii="宋体" w:hAnsi="宋体" w:eastAsia="宋体" w:cs="宋体"/>
          <w:bCs/>
          <w:i w:val="0"/>
          <w:iCs w:val="0"/>
          <w:caps w:val="0"/>
          <w:color w:val="auto"/>
          <w:spacing w:val="0"/>
          <w:kern w:val="0"/>
          <w:sz w:val="21"/>
          <w:szCs w:val="21"/>
          <w:shd w:val="clear"/>
        </w:rPr>
        <w:t>，</w:t>
      </w:r>
      <w:r>
        <w:rPr>
          <w:rFonts w:hint="eastAsia" w:ascii="宋体" w:hAnsi="宋体" w:eastAsia="宋体" w:cs="宋体"/>
          <w:bCs/>
          <w:i w:val="0"/>
          <w:iCs w:val="0"/>
          <w:caps w:val="0"/>
          <w:color w:val="auto"/>
          <w:spacing w:val="0"/>
          <w:kern w:val="0"/>
          <w:sz w:val="21"/>
          <w:szCs w:val="21"/>
          <w:shd w:val="clear"/>
          <w:lang w:val="en-US" w:eastAsia="zh-CN"/>
        </w:rPr>
        <w:t>配备专业的售后服务团队</w:t>
      </w:r>
      <w:r>
        <w:rPr>
          <w:rFonts w:hint="eastAsia" w:ascii="宋体" w:hAnsi="宋体" w:eastAsia="宋体" w:cs="宋体"/>
          <w:bCs/>
          <w:i w:val="0"/>
          <w:iCs w:val="0"/>
          <w:caps w:val="0"/>
          <w:color w:val="auto"/>
          <w:spacing w:val="0"/>
          <w:kern w:val="0"/>
          <w:sz w:val="21"/>
          <w:szCs w:val="21"/>
          <w:shd w:val="clear"/>
        </w:rPr>
        <w:t>，方案</w:t>
      </w:r>
      <w:r>
        <w:rPr>
          <w:rFonts w:hint="eastAsia" w:ascii="宋体" w:hAnsi="宋体" w:cs="宋体"/>
          <w:bCs/>
          <w:i w:val="0"/>
          <w:iCs w:val="0"/>
          <w:caps w:val="0"/>
          <w:color w:val="auto"/>
          <w:spacing w:val="0"/>
          <w:kern w:val="0"/>
          <w:sz w:val="21"/>
          <w:szCs w:val="21"/>
          <w:shd w:val="clear"/>
          <w:lang w:val="en-US" w:eastAsia="zh-CN"/>
        </w:rPr>
        <w:t>涵盖以上内容并符合实际要求</w:t>
      </w:r>
      <w:r>
        <w:rPr>
          <w:rFonts w:hint="eastAsia" w:ascii="宋体" w:hAnsi="宋体" w:eastAsia="宋体" w:cs="宋体"/>
          <w:bCs/>
          <w:i w:val="0"/>
          <w:iCs w:val="0"/>
          <w:caps w:val="0"/>
          <w:color w:val="auto"/>
          <w:spacing w:val="0"/>
          <w:kern w:val="0"/>
          <w:sz w:val="21"/>
          <w:szCs w:val="21"/>
          <w:shd w:val="clear"/>
        </w:rPr>
        <w:t>。</w:t>
      </w:r>
    </w:p>
    <w:p w14:paraId="3AA97074">
      <w:pPr>
        <w:keepNext w:val="0"/>
        <w:keepLines w:val="0"/>
        <w:pageBreakBefore w:val="0"/>
        <w:widowControl w:val="0"/>
        <w:numPr>
          <w:ilvl w:val="0"/>
          <w:numId w:val="0"/>
        </w:numPr>
        <w:kinsoku/>
        <w:wordWrap/>
        <w:overflowPunct/>
        <w:topLinePunct w:val="0"/>
        <w:autoSpaceDE/>
        <w:autoSpaceDN/>
        <w:bidi w:val="0"/>
        <w:adjustRightInd w:val="0"/>
        <w:snapToGrid/>
        <w:spacing w:line="380" w:lineRule="exact"/>
        <w:ind w:firstLine="420" w:firstLineChars="200"/>
        <w:jc w:val="both"/>
        <w:textAlignment w:val="baseline"/>
        <w:rPr>
          <w:rFonts w:hint="eastAsia" w:ascii="宋体" w:hAnsi="宋体" w:eastAsia="宋体" w:cs="宋体"/>
          <w:bCs/>
          <w:i w:val="0"/>
          <w:iCs w:val="0"/>
          <w:caps w:val="0"/>
          <w:color w:val="auto"/>
          <w:spacing w:val="0"/>
          <w:kern w:val="0"/>
          <w:sz w:val="21"/>
          <w:szCs w:val="21"/>
          <w:shd w:val="clear"/>
        </w:rPr>
      </w:pPr>
      <w:r>
        <w:rPr>
          <w:rFonts w:hint="eastAsia" w:ascii="宋体" w:hAnsi="宋体" w:eastAsia="宋体" w:cs="宋体"/>
          <w:bCs/>
          <w:i w:val="0"/>
          <w:iCs w:val="0"/>
          <w:caps w:val="0"/>
          <w:color w:val="auto"/>
          <w:spacing w:val="0"/>
          <w:kern w:val="0"/>
          <w:sz w:val="21"/>
          <w:szCs w:val="21"/>
          <w:shd w:val="clear"/>
        </w:rPr>
        <w:t>三档（2</w:t>
      </w:r>
      <w:r>
        <w:rPr>
          <w:rFonts w:hint="eastAsia" w:ascii="宋体" w:hAnsi="宋体" w:cs="宋体"/>
          <w:bCs/>
          <w:i w:val="0"/>
          <w:iCs w:val="0"/>
          <w:caps w:val="0"/>
          <w:color w:val="auto"/>
          <w:spacing w:val="0"/>
          <w:kern w:val="0"/>
          <w:sz w:val="21"/>
          <w:szCs w:val="21"/>
          <w:shd w:val="clear"/>
          <w:lang w:val="en-US" w:eastAsia="zh-CN"/>
        </w:rPr>
        <w:t>5</w:t>
      </w:r>
      <w:r>
        <w:rPr>
          <w:rFonts w:hint="eastAsia" w:ascii="宋体" w:hAnsi="宋体" w:eastAsia="宋体" w:cs="宋体"/>
          <w:bCs/>
          <w:i w:val="0"/>
          <w:iCs w:val="0"/>
          <w:caps w:val="0"/>
          <w:color w:val="auto"/>
          <w:spacing w:val="0"/>
          <w:kern w:val="0"/>
          <w:sz w:val="21"/>
          <w:szCs w:val="21"/>
          <w:shd w:val="clear"/>
        </w:rPr>
        <w:t>分）：提供售后服务方案，方案包含有培训方案、应急处置方案、服务保障方案、保密方案、售后服务响应方案，方案可行性强，具有本地化服务</w:t>
      </w:r>
      <w:r>
        <w:rPr>
          <w:rFonts w:hint="eastAsia" w:ascii="宋体" w:hAnsi="宋体" w:cs="宋体"/>
          <w:bCs/>
          <w:i w:val="0"/>
          <w:iCs w:val="0"/>
          <w:caps w:val="0"/>
          <w:color w:val="auto"/>
          <w:spacing w:val="0"/>
          <w:kern w:val="0"/>
          <w:sz w:val="21"/>
          <w:szCs w:val="21"/>
          <w:shd w:val="clear"/>
          <w:lang w:val="en-US" w:eastAsia="zh-CN"/>
        </w:rPr>
        <w:t>承诺</w:t>
      </w:r>
      <w:r>
        <w:rPr>
          <w:rFonts w:hint="eastAsia" w:ascii="宋体" w:hAnsi="宋体" w:eastAsia="宋体" w:cs="宋体"/>
          <w:bCs/>
          <w:i w:val="0"/>
          <w:iCs w:val="0"/>
          <w:caps w:val="0"/>
          <w:color w:val="auto"/>
          <w:spacing w:val="0"/>
          <w:kern w:val="0"/>
          <w:sz w:val="21"/>
          <w:szCs w:val="21"/>
          <w:shd w:val="clear"/>
        </w:rPr>
        <w:t>，</w:t>
      </w:r>
      <w:r>
        <w:rPr>
          <w:rFonts w:hint="eastAsia" w:ascii="宋体" w:hAnsi="宋体" w:eastAsia="宋体" w:cs="宋体"/>
          <w:bCs/>
          <w:i w:val="0"/>
          <w:iCs w:val="0"/>
          <w:caps w:val="0"/>
          <w:color w:val="auto"/>
          <w:spacing w:val="0"/>
          <w:kern w:val="0"/>
          <w:sz w:val="21"/>
          <w:szCs w:val="21"/>
          <w:shd w:val="clear"/>
          <w:lang w:val="en-US" w:eastAsia="zh-CN"/>
        </w:rPr>
        <w:t>配备专业的售后服务团队，能够为客户提供全方位的售后支持，提供明确的售后联系人及其详细的联系方式，在服务响应时间以及质保期方面，承诺标准显著优于采购需求所提出的标准，充分体现对服务质量的高度重视，确保</w:t>
      </w:r>
      <w:r>
        <w:rPr>
          <w:rFonts w:hint="eastAsia" w:ascii="宋体" w:hAnsi="宋体" w:cs="宋体"/>
          <w:bCs/>
          <w:i w:val="0"/>
          <w:iCs w:val="0"/>
          <w:caps w:val="0"/>
          <w:color w:val="auto"/>
          <w:spacing w:val="0"/>
          <w:kern w:val="0"/>
          <w:sz w:val="21"/>
          <w:szCs w:val="21"/>
          <w:shd w:val="clear"/>
          <w:lang w:val="en-US" w:eastAsia="zh-CN"/>
        </w:rPr>
        <w:t>采购人</w:t>
      </w:r>
      <w:r>
        <w:rPr>
          <w:rFonts w:hint="eastAsia" w:ascii="宋体" w:hAnsi="宋体" w:eastAsia="宋体" w:cs="宋体"/>
          <w:bCs/>
          <w:i w:val="0"/>
          <w:iCs w:val="0"/>
          <w:caps w:val="0"/>
          <w:color w:val="auto"/>
          <w:spacing w:val="0"/>
          <w:kern w:val="0"/>
          <w:sz w:val="21"/>
          <w:szCs w:val="21"/>
          <w:shd w:val="clear"/>
          <w:lang w:val="en-US" w:eastAsia="zh-CN"/>
        </w:rPr>
        <w:t>在使用过程中能够享受到高效、便捷的全方位服务支持。</w:t>
      </w:r>
    </w:p>
    <w:p w14:paraId="2CEA2A9F">
      <w:pPr>
        <w:keepNext w:val="0"/>
        <w:keepLines w:val="0"/>
        <w:pageBreakBefore w:val="0"/>
        <w:widowControl w:val="0"/>
        <w:numPr>
          <w:ilvl w:val="0"/>
          <w:numId w:val="0"/>
        </w:numPr>
        <w:kinsoku/>
        <w:wordWrap/>
        <w:overflowPunct/>
        <w:topLinePunct w:val="0"/>
        <w:autoSpaceDE/>
        <w:autoSpaceDN/>
        <w:bidi w:val="0"/>
        <w:adjustRightInd w:val="0"/>
        <w:snapToGrid/>
        <w:spacing w:line="380" w:lineRule="exact"/>
        <w:jc w:val="both"/>
        <w:textAlignment w:val="baseline"/>
        <w:rPr>
          <w:rFonts w:hint="eastAsia" w:ascii="宋体" w:hAnsi="宋体" w:eastAsia="宋体" w:cs="宋体"/>
          <w:b/>
          <w:color w:val="auto"/>
          <w:szCs w:val="21"/>
        </w:rPr>
      </w:pPr>
      <w:r>
        <w:rPr>
          <w:rFonts w:hint="eastAsia" w:ascii="宋体" w:hAnsi="宋体" w:eastAsia="宋体" w:cs="宋体"/>
          <w:b/>
          <w:color w:val="auto"/>
          <w:kern w:val="2"/>
          <w:sz w:val="21"/>
          <w:szCs w:val="21"/>
          <w:lang w:val="en-US" w:eastAsia="zh-CN" w:bidi="ar-SA"/>
        </w:rPr>
        <w:t>3、</w:t>
      </w:r>
      <w:r>
        <w:rPr>
          <w:rFonts w:hint="eastAsia" w:ascii="宋体" w:hAnsi="宋体" w:eastAsia="宋体" w:cs="宋体"/>
          <w:b/>
          <w:color w:val="auto"/>
          <w:szCs w:val="21"/>
        </w:rPr>
        <w:t>履约能力分…………………………………………………………………………………………………</w:t>
      </w:r>
      <w:r>
        <w:rPr>
          <w:rFonts w:hint="eastAsia" w:ascii="宋体" w:hAnsi="宋体" w:cs="宋体"/>
          <w:b/>
          <w:color w:val="auto"/>
          <w:szCs w:val="21"/>
          <w:lang w:val="en-US" w:eastAsia="zh-CN"/>
        </w:rPr>
        <w:t>4</w:t>
      </w:r>
      <w:r>
        <w:rPr>
          <w:rFonts w:hint="eastAsia" w:ascii="宋体" w:hAnsi="宋体" w:eastAsia="宋体" w:cs="宋体"/>
          <w:b/>
          <w:color w:val="auto"/>
          <w:szCs w:val="21"/>
        </w:rPr>
        <w:t>分</w:t>
      </w:r>
    </w:p>
    <w:p w14:paraId="429B8F19">
      <w:pPr>
        <w:keepNext w:val="0"/>
        <w:keepLines w:val="0"/>
        <w:pageBreakBefore w:val="0"/>
        <w:widowControl w:val="0"/>
        <w:numPr>
          <w:ilvl w:val="0"/>
          <w:numId w:val="0"/>
        </w:numPr>
        <w:kinsoku/>
        <w:wordWrap/>
        <w:overflowPunct/>
        <w:topLinePunct w:val="0"/>
        <w:autoSpaceDE/>
        <w:autoSpaceDN/>
        <w:bidi w:val="0"/>
        <w:adjustRightInd w:val="0"/>
        <w:snapToGrid/>
        <w:spacing w:line="380" w:lineRule="exact"/>
        <w:ind w:firstLine="420" w:firstLineChars="200"/>
        <w:jc w:val="both"/>
        <w:textAlignment w:val="baseline"/>
        <w:rPr>
          <w:rFonts w:hint="eastAsia" w:ascii="宋体" w:hAnsi="宋体" w:eastAsia="宋体" w:cs="宋体"/>
          <w:bCs/>
          <w:i w:val="0"/>
          <w:iCs w:val="0"/>
          <w:caps w:val="0"/>
          <w:color w:val="auto"/>
          <w:spacing w:val="0"/>
          <w:kern w:val="0"/>
          <w:sz w:val="21"/>
          <w:szCs w:val="21"/>
          <w:shd w:val="clear"/>
          <w:lang w:val="en-US" w:eastAsia="zh-CN"/>
        </w:rPr>
      </w:pPr>
      <w:r>
        <w:rPr>
          <w:rFonts w:hint="eastAsia" w:ascii="宋体" w:hAnsi="宋体" w:eastAsia="宋体" w:cs="宋体"/>
          <w:bCs/>
          <w:i w:val="0"/>
          <w:iCs w:val="0"/>
          <w:caps w:val="0"/>
          <w:color w:val="auto"/>
          <w:spacing w:val="0"/>
          <w:kern w:val="0"/>
          <w:sz w:val="21"/>
          <w:szCs w:val="21"/>
          <w:shd w:val="clear"/>
          <w:lang w:val="en-US" w:eastAsia="zh-CN"/>
        </w:rPr>
        <w:t>2022年1月1日以来，承接过与本次采购需求内容类似项目成功案例的，每提供一项得</w:t>
      </w:r>
      <w:r>
        <w:rPr>
          <w:rFonts w:hint="eastAsia" w:ascii="宋体" w:hAnsi="宋体" w:cs="宋体"/>
          <w:bCs/>
          <w:i w:val="0"/>
          <w:iCs w:val="0"/>
          <w:caps w:val="0"/>
          <w:color w:val="auto"/>
          <w:spacing w:val="0"/>
          <w:kern w:val="0"/>
          <w:sz w:val="21"/>
          <w:szCs w:val="21"/>
          <w:shd w:val="clear"/>
          <w:lang w:val="en-US" w:eastAsia="zh-CN"/>
        </w:rPr>
        <w:t>2</w:t>
      </w:r>
      <w:r>
        <w:rPr>
          <w:rFonts w:hint="eastAsia" w:ascii="宋体" w:hAnsi="宋体" w:eastAsia="宋体" w:cs="宋体"/>
          <w:bCs/>
          <w:i w:val="0"/>
          <w:iCs w:val="0"/>
          <w:caps w:val="0"/>
          <w:color w:val="auto"/>
          <w:spacing w:val="0"/>
          <w:kern w:val="0"/>
          <w:sz w:val="21"/>
          <w:szCs w:val="21"/>
          <w:shd w:val="clear"/>
          <w:lang w:val="en-US" w:eastAsia="zh-CN"/>
        </w:rPr>
        <w:t>分，满分</w:t>
      </w:r>
      <w:r>
        <w:rPr>
          <w:rFonts w:hint="eastAsia" w:ascii="宋体" w:hAnsi="宋体" w:cs="宋体"/>
          <w:bCs/>
          <w:i w:val="0"/>
          <w:iCs w:val="0"/>
          <w:caps w:val="0"/>
          <w:color w:val="auto"/>
          <w:spacing w:val="0"/>
          <w:kern w:val="0"/>
          <w:sz w:val="21"/>
          <w:szCs w:val="21"/>
          <w:shd w:val="clear"/>
          <w:lang w:val="en-US" w:eastAsia="zh-CN"/>
        </w:rPr>
        <w:t>4</w:t>
      </w:r>
      <w:r>
        <w:rPr>
          <w:rFonts w:hint="eastAsia" w:ascii="宋体" w:hAnsi="宋体" w:eastAsia="宋体" w:cs="宋体"/>
          <w:bCs/>
          <w:i w:val="0"/>
          <w:iCs w:val="0"/>
          <w:caps w:val="0"/>
          <w:color w:val="auto"/>
          <w:spacing w:val="0"/>
          <w:kern w:val="0"/>
          <w:sz w:val="21"/>
          <w:szCs w:val="21"/>
          <w:shd w:val="clear"/>
          <w:lang w:val="en-US" w:eastAsia="zh-CN"/>
        </w:rPr>
        <w:t>分（以有效的合同或中标（成交）通知书复印件为准）。</w:t>
      </w:r>
    </w:p>
    <w:p w14:paraId="6DF5196C">
      <w:pPr>
        <w:keepNext w:val="0"/>
        <w:keepLines w:val="0"/>
        <w:pageBreakBefore w:val="0"/>
        <w:widowControl w:val="0"/>
        <w:kinsoku/>
        <w:wordWrap/>
        <w:overflowPunct/>
        <w:topLinePunct w:val="0"/>
        <w:autoSpaceDE/>
        <w:autoSpaceDN/>
        <w:bidi w:val="0"/>
        <w:snapToGrid/>
        <w:spacing w:line="380" w:lineRule="exact"/>
        <w:rPr>
          <w:rFonts w:hint="eastAsia" w:ascii="宋体" w:hAnsi="宋体" w:eastAsia="宋体" w:cs="宋体"/>
          <w:b/>
          <w:color w:val="auto"/>
          <w:szCs w:val="21"/>
        </w:rPr>
      </w:pPr>
      <w:r>
        <w:rPr>
          <w:rFonts w:hint="eastAsia" w:ascii="宋体" w:hAnsi="宋体" w:eastAsia="宋体" w:cs="宋体"/>
          <w:b/>
          <w:color w:val="auto"/>
          <w:szCs w:val="21"/>
        </w:rPr>
        <w:t>（三）总得分=1 + 2 + 3。</w:t>
      </w:r>
    </w:p>
    <w:p w14:paraId="2E10DCB1">
      <w:pPr>
        <w:pStyle w:val="15"/>
        <w:keepNext w:val="0"/>
        <w:keepLines w:val="0"/>
        <w:pageBreakBefore w:val="0"/>
        <w:widowControl w:val="0"/>
        <w:kinsoku/>
        <w:wordWrap/>
        <w:overflowPunct/>
        <w:topLinePunct w:val="0"/>
        <w:autoSpaceDE/>
        <w:autoSpaceDN/>
        <w:bidi w:val="0"/>
        <w:snapToGrid/>
        <w:spacing w:line="380" w:lineRule="exact"/>
        <w:ind w:left="0" w:leftChars="0" w:firstLine="0" w:firstLineChars="0"/>
        <w:rPr>
          <w:rFonts w:ascii="宋体" w:hAnsi="宋体"/>
          <w:b/>
          <w:bCs/>
          <w:color w:val="auto"/>
          <w:szCs w:val="21"/>
        </w:rPr>
      </w:pPr>
      <w:r>
        <w:rPr>
          <w:rFonts w:hint="eastAsia" w:ascii="宋体" w:hAnsi="宋体"/>
          <w:b/>
          <w:bCs/>
          <w:color w:val="auto"/>
          <w:szCs w:val="21"/>
        </w:rPr>
        <w:t>三、成交候选供应商推荐原则</w:t>
      </w:r>
    </w:p>
    <w:p w14:paraId="79B951FE">
      <w:pPr>
        <w:keepNext w:val="0"/>
        <w:keepLines w:val="0"/>
        <w:pageBreakBefore w:val="0"/>
        <w:widowControl w:val="0"/>
        <w:kinsoku/>
        <w:wordWrap/>
        <w:overflowPunct/>
        <w:topLinePunct w:val="0"/>
        <w:autoSpaceDE/>
        <w:autoSpaceDN/>
        <w:bidi w:val="0"/>
        <w:snapToGrid/>
        <w:spacing w:line="380" w:lineRule="exact"/>
        <w:ind w:firstLine="420"/>
        <w:rPr>
          <w:rFonts w:hAnsi="宋体"/>
          <w:bCs/>
        </w:rPr>
      </w:pPr>
      <w:r>
        <w:rPr>
          <w:rFonts w:hint="eastAsia" w:hAnsi="宋体"/>
          <w:bCs/>
        </w:rPr>
        <w:t>（一）磋商小组将根据得分由高到低排列次序（得分相同时，以磋商报价由低到高顺序排列；得分相同且磋商报价相同的，按</w:t>
      </w:r>
      <w:r>
        <w:rPr>
          <w:rFonts w:hint="eastAsia" w:hAnsi="宋体"/>
          <w:bCs/>
          <w:lang w:val="en-US" w:eastAsia="zh-CN"/>
        </w:rPr>
        <w:t>技术分得分高低</w:t>
      </w:r>
      <w:r>
        <w:rPr>
          <w:rFonts w:hint="eastAsia" w:hAnsi="宋体"/>
          <w:bCs/>
        </w:rPr>
        <w:t>顺序排列）并推荐成交候选供应商。采购单位应当确定磋商小组推荐排名第一的成交候选人为成交人。排名第一的成交候选人放弃成交、因不可抗力提出不能履行合同，采购单位可以确定排名第二的成交候选人为成交人。排名第二的成交候选人因前款规定的同样原因不能签订合同的，采购单位可以确定排名第三的成交候选人为成交人，其余以此类推。采购人也可以决定重新采购。对采购过程、成交结果提出的质疑成立后取消成交资格，合格供应商符合法定数量时，可以从合格的成交候选人中另行确定成交供应商的，应当依法另行确定成交供应商；否则应当重新开展采购活动。</w:t>
      </w:r>
    </w:p>
    <w:p w14:paraId="3530B980">
      <w:pPr>
        <w:keepNext w:val="0"/>
        <w:keepLines w:val="0"/>
        <w:pageBreakBefore w:val="0"/>
        <w:widowControl w:val="0"/>
        <w:kinsoku/>
        <w:wordWrap/>
        <w:overflowPunct/>
        <w:topLinePunct w:val="0"/>
        <w:autoSpaceDE/>
        <w:autoSpaceDN/>
        <w:bidi w:val="0"/>
        <w:snapToGrid/>
        <w:spacing w:line="380" w:lineRule="exact"/>
        <w:ind w:firstLine="420"/>
      </w:pPr>
      <w:r>
        <w:rPr>
          <w:rFonts w:hint="eastAsia" w:hAnsi="宋体"/>
          <w:bCs/>
        </w:rPr>
        <w:t>（二）磋商小组认为供应商的报价明显低于其他通过符合性审查供应商的报价，有可能影响服务质量或者不能诚信履约的，应当要求其在评审现场合理的时间内提供书面说明，必要时提交相关证明材料；供应商不能证明其报价合理性的，磋商小组将其作为无效竞标处理。</w:t>
      </w:r>
    </w:p>
    <w:p w14:paraId="40DBD04D"/>
    <w:sectPr>
      <w:footerReference r:id="rId6" w:type="first"/>
      <w:headerReference r:id="rId3" w:type="default"/>
      <w:footerReference r:id="rId4" w:type="default"/>
      <w:footerReference r:id="rId5" w:type="even"/>
      <w:pgSz w:w="11906" w:h="16838"/>
      <w:pgMar w:top="1134" w:right="1134" w:bottom="1134" w:left="1134"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002F539-F89B-4699-95CC-F1CEC34981F7}"/>
  </w:font>
  <w:font w:name="黑体">
    <w:panose1 w:val="02010609060101010101"/>
    <w:charset w:val="86"/>
    <w:family w:val="auto"/>
    <w:pitch w:val="default"/>
    <w:sig w:usb0="800002BF" w:usb1="38CF7CFA" w:usb2="00000016" w:usb3="00000000" w:csb0="00040001" w:csb1="00000000"/>
    <w:embedRegular r:id="rId2" w:fontKey="{5A0CC324-EA24-4B98-936F-85D8F631A3B7}"/>
  </w:font>
  <w:font w:name="Courier New">
    <w:panose1 w:val="02070309020205020404"/>
    <w:charset w:val="01"/>
    <w:family w:val="modern"/>
    <w:pitch w:val="default"/>
    <w:sig w:usb0="E0002EFF" w:usb1="C0007843" w:usb2="00000009" w:usb3="00000000" w:csb0="400001FF" w:csb1="FFFF0000"/>
    <w:embedRegular r:id="rId3" w:fontKey="{45869C41-2183-4916-A35A-DE69F5A63CDB}"/>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1A9C1DF8-1D75-4DD4-AA70-3C081A53004B}"/>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1" w:usb1="080E0000" w:usb2="00000000" w:usb3="00000000" w:csb0="00040000" w:csb1="00000000"/>
    <w:embedRegular r:id="rId5" w:fontKey="{CDED085C-CCC8-4364-B8E9-DD14A5A78B4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embedRegular r:id="rId6" w:fontKey="{910A8D6B-1351-432D-98D7-0E9609F162F7}"/>
  </w:font>
  <w:font w:name="华文新魏">
    <w:panose1 w:val="02010800040101010101"/>
    <w:charset w:val="86"/>
    <w:family w:val="auto"/>
    <w:pitch w:val="default"/>
    <w:sig w:usb0="00000001" w:usb1="080F0000" w:usb2="00000000" w:usb3="00000000" w:csb0="00040000" w:csb1="00000000"/>
    <w:embedRegular r:id="rId7" w:fontKey="{4A4CAC69-0EE3-40C1-ACA5-0CB5E3BDDE5B}"/>
  </w:font>
  <w:font w:name="楷体">
    <w:panose1 w:val="02010609060101010101"/>
    <w:charset w:val="86"/>
    <w:family w:val="modern"/>
    <w:pitch w:val="default"/>
    <w:sig w:usb0="800002BF" w:usb1="38CF7CFA" w:usb2="00000016" w:usb3="00000000" w:csb0="00040001" w:csb1="00000000"/>
    <w:embedRegular r:id="rId8" w:fontKey="{6318694A-010B-4E84-B0D9-6618462980E0}"/>
  </w:font>
  <w:font w:name="Arial Unicode MS">
    <w:altName w:val="宋体"/>
    <w:panose1 w:val="020B0604020202020204"/>
    <w:charset w:val="86"/>
    <w:family w:val="swiss"/>
    <w:pitch w:val="default"/>
    <w:sig w:usb0="00000000" w:usb1="00000000" w:usb2="0000003F" w:usb3="00000000" w:csb0="603F01FF" w:csb1="FFFF0000"/>
    <w:embedRegular r:id="rId9" w:fontKey="{5EAD5BDA-2690-4941-9DB7-301CB7171D30}"/>
  </w:font>
  <w:font w:name="@方正仿宋简体">
    <w:altName w:val="仿宋"/>
    <w:panose1 w:val="00000000000000000000"/>
    <w:charset w:val="86"/>
    <w:family w:val="auto"/>
    <w:pitch w:val="default"/>
    <w:sig w:usb0="00000000" w:usb1="00000000" w:usb2="00000012" w:usb3="00000000" w:csb0="00040001" w:csb1="00000000"/>
    <w:embedRegular r:id="rId10" w:fontKey="{900F2B0A-55F0-443D-B7B0-8B3D003A1A96}"/>
  </w:font>
  <w:font w:name="仿宋">
    <w:panose1 w:val="02010609060101010101"/>
    <w:charset w:val="86"/>
    <w:family w:val="auto"/>
    <w:pitch w:val="default"/>
    <w:sig w:usb0="800002BF" w:usb1="38CF7CFA" w:usb2="00000016" w:usb3="00000000" w:csb0="00040001" w:csb1="00000000"/>
  </w:font>
  <w:font w:name="WPSEMBED20">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C00EC5">
    <w:pPr>
      <w:pStyle w:val="12"/>
      <w:framePr w:wrap="around" w:vAnchor="text" w:hAnchor="margin" w:xAlign="center" w:y="1"/>
      <w:rPr>
        <w:rStyle w:val="23"/>
      </w:rPr>
    </w:pPr>
    <w:r>
      <w:fldChar w:fldCharType="begin"/>
    </w:r>
    <w:r>
      <w:rPr>
        <w:rStyle w:val="23"/>
      </w:rPr>
      <w:instrText xml:space="preserve">PAGE  </w:instrText>
    </w:r>
    <w:r>
      <w:fldChar w:fldCharType="separate"/>
    </w:r>
    <w:r>
      <w:rPr>
        <w:rStyle w:val="23"/>
      </w:rPr>
      <w:t>18</w:t>
    </w:r>
    <w:r>
      <w:fldChar w:fldCharType="end"/>
    </w:r>
  </w:p>
  <w:p w14:paraId="328431C6">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00D09">
    <w:pPr>
      <w:pStyle w:val="12"/>
      <w:framePr w:wrap="around" w:vAnchor="text" w:hAnchor="margin" w:xAlign="center" w:y="1"/>
      <w:rPr>
        <w:rStyle w:val="23"/>
      </w:rPr>
    </w:pPr>
    <w:r>
      <w:fldChar w:fldCharType="begin"/>
    </w:r>
    <w:r>
      <w:rPr>
        <w:rStyle w:val="23"/>
      </w:rPr>
      <w:instrText xml:space="preserve">PAGE  </w:instrText>
    </w:r>
    <w:r>
      <w:fldChar w:fldCharType="end"/>
    </w:r>
  </w:p>
  <w:p w14:paraId="7E3DC135">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65297">
    <w:pPr>
      <w:pStyle w:val="12"/>
      <w:ind w:right="360"/>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D96B6">
    <w:pPr>
      <w:pStyle w:val="13"/>
      <w:wordWrap w:val="0"/>
      <w:jc w:val="right"/>
      <w:rPr>
        <w:rFonts w:ascii="宋体" w:hAnsi="宋体"/>
      </w:rPr>
    </w:pPr>
    <w:r>
      <w:rPr>
        <w:rFonts w:hint="eastAsia" w:ascii="宋体" w:hAnsi="宋体"/>
        <w:lang w:eastAsia="zh-CN"/>
      </w:rPr>
      <w:t>南宁市2025年公办普惠托育机构能力提升项目</w:t>
    </w:r>
    <w:r>
      <w:rPr>
        <w:rFonts w:hint="eastAsia" w:ascii="宋体" w:hAnsi="宋体"/>
      </w:rPr>
      <w:t>（</w:t>
    </w:r>
    <w:r>
      <w:rPr>
        <w:rFonts w:hint="eastAsia" w:ascii="宋体" w:hAnsi="宋体"/>
        <w:lang w:eastAsia="zh-CN"/>
      </w:rPr>
      <w:t>GXGL2025S-C617-Z</w:t>
    </w:r>
    <w:r>
      <w:rPr>
        <w:rFonts w:hint="eastAsia" w:ascii="宋体" w:hAnsi="宋体"/>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decimal"/>
      <w:suff w:val="nothing"/>
      <w:lvlText w:val="%1"/>
      <w:lvlJc w:val="center"/>
      <w:pPr>
        <w:ind w:left="0" w:firstLine="0"/>
      </w:pPr>
      <w:rPr>
        <w:rFonts w:hint="eastAsia"/>
        <w:b w:val="0"/>
        <w:i w:val="0"/>
        <w:snapToGrid w:val="0"/>
        <w:kern w:val="0"/>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
    <w:nsid w:val="52BD6B46"/>
    <w:multiLevelType w:val="multilevel"/>
    <w:tmpl w:val="52BD6B46"/>
    <w:lvl w:ilvl="0" w:tentative="0">
      <w:start w:val="1"/>
      <w:numFmt w:val="decimal"/>
      <w:suff w:val="space"/>
      <w:lvlText w:val="第%1章"/>
      <w:lvlJc w:val="left"/>
      <w:pPr>
        <w:ind w:left="432" w:hanging="432"/>
      </w:pPr>
      <w:rPr>
        <w:rFonts w:hint="eastAsia"/>
      </w:rPr>
    </w:lvl>
    <w:lvl w:ilvl="1" w:tentative="0">
      <w:start w:val="1"/>
      <w:numFmt w:val="decimal"/>
      <w:lvlText w:val="%1.%2"/>
      <w:lvlJc w:val="left"/>
      <w:pPr>
        <w:ind w:left="576" w:hanging="576"/>
      </w:pPr>
      <w:rPr>
        <w:rFonts w:hint="eastAsia"/>
      </w:rPr>
    </w:lvl>
    <w:lvl w:ilvl="2" w:tentative="0">
      <w:start w:val="1"/>
      <w:numFmt w:val="decimal"/>
      <w:pStyle w:val="2"/>
      <w:lvlText w:val="%1.%2.%3"/>
      <w:lvlJc w:val="left"/>
      <w:pPr>
        <w:ind w:left="720" w:hanging="720"/>
      </w:pPr>
      <w:rPr>
        <w:rFonts w:hint="eastAsia"/>
      </w:rPr>
    </w:lvl>
    <w:lvl w:ilvl="3" w:tentative="0">
      <w:start w:val="1"/>
      <w:numFmt w:val="decimal"/>
      <w:lvlText w:val="%1.%2.%3.%4"/>
      <w:lvlJc w:val="left"/>
      <w:pPr>
        <w:ind w:left="864" w:hanging="864"/>
      </w:pPr>
      <w:rPr>
        <w:rFonts w:hint="eastAsia"/>
        <w:b/>
        <w:bCs w:val="0"/>
        <w:caps w:val="0"/>
        <w:smallCaps w:val="0"/>
        <w:strike w:val="0"/>
        <w:dstrike w:val="0"/>
        <w:vanish w:val="0"/>
        <w:color w:val="000000"/>
        <w:spacing w:val="0"/>
        <w:kern w:val="0"/>
        <w:position w:val="0"/>
        <w:u w:val="none"/>
        <w:vertAlign w:val="baseline"/>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2">
    <w:nsid w:val="6DBF1A4E"/>
    <w:multiLevelType w:val="multilevel"/>
    <w:tmpl w:val="6DBF1A4E"/>
    <w:lvl w:ilvl="0" w:tentative="0">
      <w:start w:val="1"/>
      <w:numFmt w:val="japaneseCounting"/>
      <w:lvlText w:val="第%1条"/>
      <w:lvlJc w:val="left"/>
      <w:pPr>
        <w:tabs>
          <w:tab w:val="left" w:pos="1262"/>
        </w:tabs>
        <w:ind w:left="1262" w:hanging="840"/>
      </w:pPr>
      <w:rPr>
        <w:rFonts w:hint="default"/>
      </w:rPr>
    </w:lvl>
    <w:lvl w:ilvl="1" w:tentative="0">
      <w:start w:val="1"/>
      <w:numFmt w:val="lowerLetter"/>
      <w:lvlText w:val="%2)"/>
      <w:lvlJc w:val="left"/>
      <w:pPr>
        <w:tabs>
          <w:tab w:val="left" w:pos="1262"/>
        </w:tabs>
        <w:ind w:left="1262" w:hanging="420"/>
      </w:pPr>
    </w:lvl>
    <w:lvl w:ilvl="2" w:tentative="0">
      <w:start w:val="1"/>
      <w:numFmt w:val="lowerRoman"/>
      <w:lvlText w:val="%3."/>
      <w:lvlJc w:val="right"/>
      <w:pPr>
        <w:tabs>
          <w:tab w:val="left" w:pos="1682"/>
        </w:tabs>
        <w:ind w:left="1682" w:hanging="420"/>
      </w:pPr>
    </w:lvl>
    <w:lvl w:ilvl="3" w:tentative="0">
      <w:start w:val="1"/>
      <w:numFmt w:val="decimal"/>
      <w:lvlText w:val="%4."/>
      <w:lvlJc w:val="left"/>
      <w:pPr>
        <w:tabs>
          <w:tab w:val="left" w:pos="2102"/>
        </w:tabs>
        <w:ind w:left="2102" w:hanging="420"/>
      </w:pPr>
    </w:lvl>
    <w:lvl w:ilvl="4" w:tentative="0">
      <w:start w:val="1"/>
      <w:numFmt w:val="lowerLetter"/>
      <w:lvlText w:val="%5)"/>
      <w:lvlJc w:val="left"/>
      <w:pPr>
        <w:tabs>
          <w:tab w:val="left" w:pos="2522"/>
        </w:tabs>
        <w:ind w:left="2522" w:hanging="420"/>
      </w:pPr>
    </w:lvl>
    <w:lvl w:ilvl="5" w:tentative="0">
      <w:start w:val="1"/>
      <w:numFmt w:val="lowerRoman"/>
      <w:lvlText w:val="%6."/>
      <w:lvlJc w:val="right"/>
      <w:pPr>
        <w:tabs>
          <w:tab w:val="left" w:pos="2942"/>
        </w:tabs>
        <w:ind w:left="2942" w:hanging="420"/>
      </w:pPr>
    </w:lvl>
    <w:lvl w:ilvl="6" w:tentative="0">
      <w:start w:val="1"/>
      <w:numFmt w:val="decimal"/>
      <w:lvlText w:val="%7."/>
      <w:lvlJc w:val="left"/>
      <w:pPr>
        <w:tabs>
          <w:tab w:val="left" w:pos="3362"/>
        </w:tabs>
        <w:ind w:left="3362" w:hanging="420"/>
      </w:pPr>
    </w:lvl>
    <w:lvl w:ilvl="7" w:tentative="0">
      <w:start w:val="1"/>
      <w:numFmt w:val="lowerLetter"/>
      <w:lvlText w:val="%8)"/>
      <w:lvlJc w:val="left"/>
      <w:pPr>
        <w:tabs>
          <w:tab w:val="left" w:pos="3782"/>
        </w:tabs>
        <w:ind w:left="3782" w:hanging="420"/>
      </w:pPr>
    </w:lvl>
    <w:lvl w:ilvl="8" w:tentative="0">
      <w:start w:val="1"/>
      <w:numFmt w:val="lowerRoman"/>
      <w:lvlText w:val="%9."/>
      <w:lvlJc w:val="right"/>
      <w:pPr>
        <w:tabs>
          <w:tab w:val="left" w:pos="4202"/>
        </w:tabs>
        <w:ind w:left="4202"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1YjRjOGI0YzRkYjg2YTc5MGQ5Zjc5MTRjZTNmYjIifQ=="/>
  </w:docVars>
  <w:rsids>
    <w:rsidRoot w:val="0D967D94"/>
    <w:rsid w:val="00152257"/>
    <w:rsid w:val="004414CA"/>
    <w:rsid w:val="004908CD"/>
    <w:rsid w:val="004B45EB"/>
    <w:rsid w:val="0050027E"/>
    <w:rsid w:val="005C6E84"/>
    <w:rsid w:val="00655F57"/>
    <w:rsid w:val="007101B7"/>
    <w:rsid w:val="00750A53"/>
    <w:rsid w:val="00941249"/>
    <w:rsid w:val="00AE2239"/>
    <w:rsid w:val="00C5027F"/>
    <w:rsid w:val="00C97E6E"/>
    <w:rsid w:val="00CA661F"/>
    <w:rsid w:val="00D40D69"/>
    <w:rsid w:val="00DF130E"/>
    <w:rsid w:val="00EF7470"/>
    <w:rsid w:val="00FE4125"/>
    <w:rsid w:val="0143304E"/>
    <w:rsid w:val="01440828"/>
    <w:rsid w:val="01A10A78"/>
    <w:rsid w:val="01A36A10"/>
    <w:rsid w:val="01B36BD0"/>
    <w:rsid w:val="01F16170"/>
    <w:rsid w:val="023D4E08"/>
    <w:rsid w:val="02820350"/>
    <w:rsid w:val="029841DC"/>
    <w:rsid w:val="02A05C6C"/>
    <w:rsid w:val="03C344B4"/>
    <w:rsid w:val="04BE7A3A"/>
    <w:rsid w:val="05137EF8"/>
    <w:rsid w:val="05497E53"/>
    <w:rsid w:val="054D733B"/>
    <w:rsid w:val="05D652E9"/>
    <w:rsid w:val="06080E85"/>
    <w:rsid w:val="06222576"/>
    <w:rsid w:val="06F63194"/>
    <w:rsid w:val="07052771"/>
    <w:rsid w:val="071828AD"/>
    <w:rsid w:val="08752E31"/>
    <w:rsid w:val="09154CAC"/>
    <w:rsid w:val="094C3BEA"/>
    <w:rsid w:val="095C2EDB"/>
    <w:rsid w:val="09751D79"/>
    <w:rsid w:val="09E23F2B"/>
    <w:rsid w:val="0AF93DE3"/>
    <w:rsid w:val="0BBD34B1"/>
    <w:rsid w:val="0BD87233"/>
    <w:rsid w:val="0C2B5418"/>
    <w:rsid w:val="0C453F76"/>
    <w:rsid w:val="0C9C4BA4"/>
    <w:rsid w:val="0D967D94"/>
    <w:rsid w:val="0F0F11BE"/>
    <w:rsid w:val="0F410D2C"/>
    <w:rsid w:val="0F7A2ADB"/>
    <w:rsid w:val="0FE64614"/>
    <w:rsid w:val="105333B7"/>
    <w:rsid w:val="109E06D2"/>
    <w:rsid w:val="10DA4FB4"/>
    <w:rsid w:val="10E1375F"/>
    <w:rsid w:val="10FD6CC6"/>
    <w:rsid w:val="11F80B8B"/>
    <w:rsid w:val="120857D5"/>
    <w:rsid w:val="12895556"/>
    <w:rsid w:val="12DD2C36"/>
    <w:rsid w:val="12E764EF"/>
    <w:rsid w:val="1309699D"/>
    <w:rsid w:val="132E4019"/>
    <w:rsid w:val="134734DE"/>
    <w:rsid w:val="13EE2345"/>
    <w:rsid w:val="1466643D"/>
    <w:rsid w:val="14F00D38"/>
    <w:rsid w:val="153E45AB"/>
    <w:rsid w:val="16224C3F"/>
    <w:rsid w:val="172F1A19"/>
    <w:rsid w:val="17770A1F"/>
    <w:rsid w:val="178C01A7"/>
    <w:rsid w:val="184D67C6"/>
    <w:rsid w:val="18EDD928"/>
    <w:rsid w:val="19342602"/>
    <w:rsid w:val="194F322A"/>
    <w:rsid w:val="1ACFA246"/>
    <w:rsid w:val="1AE3396B"/>
    <w:rsid w:val="1C007E4D"/>
    <w:rsid w:val="1C265143"/>
    <w:rsid w:val="1C803A75"/>
    <w:rsid w:val="1CF70860"/>
    <w:rsid w:val="1D2F6D72"/>
    <w:rsid w:val="1D5E4D5B"/>
    <w:rsid w:val="1E396257"/>
    <w:rsid w:val="1E4D5BBC"/>
    <w:rsid w:val="1E9109A0"/>
    <w:rsid w:val="1F27068F"/>
    <w:rsid w:val="1FEC49BD"/>
    <w:rsid w:val="200C054D"/>
    <w:rsid w:val="20546DAF"/>
    <w:rsid w:val="209C3810"/>
    <w:rsid w:val="20AE781D"/>
    <w:rsid w:val="2157715C"/>
    <w:rsid w:val="21BD4794"/>
    <w:rsid w:val="22402B71"/>
    <w:rsid w:val="22AC349C"/>
    <w:rsid w:val="22F80789"/>
    <w:rsid w:val="2340692F"/>
    <w:rsid w:val="24600A59"/>
    <w:rsid w:val="25856C3C"/>
    <w:rsid w:val="26CBE2F0"/>
    <w:rsid w:val="26D7660D"/>
    <w:rsid w:val="27541A0C"/>
    <w:rsid w:val="283672E0"/>
    <w:rsid w:val="28C16DBA"/>
    <w:rsid w:val="28F1087F"/>
    <w:rsid w:val="290A1BF3"/>
    <w:rsid w:val="29127DD1"/>
    <w:rsid w:val="2A207C96"/>
    <w:rsid w:val="2A3E33DD"/>
    <w:rsid w:val="2A4E05CE"/>
    <w:rsid w:val="2A832D34"/>
    <w:rsid w:val="2A9735CB"/>
    <w:rsid w:val="2B165B65"/>
    <w:rsid w:val="2B2B4890"/>
    <w:rsid w:val="2C0D573C"/>
    <w:rsid w:val="2C2E20E8"/>
    <w:rsid w:val="2C9F33EC"/>
    <w:rsid w:val="2D692330"/>
    <w:rsid w:val="2D915768"/>
    <w:rsid w:val="2EC819A1"/>
    <w:rsid w:val="2EC8340B"/>
    <w:rsid w:val="326F6B4D"/>
    <w:rsid w:val="32780CC3"/>
    <w:rsid w:val="32F135C2"/>
    <w:rsid w:val="33B5776D"/>
    <w:rsid w:val="342033A2"/>
    <w:rsid w:val="34476B80"/>
    <w:rsid w:val="34793A17"/>
    <w:rsid w:val="34BB2D39"/>
    <w:rsid w:val="34D452BA"/>
    <w:rsid w:val="34FD1935"/>
    <w:rsid w:val="35310049"/>
    <w:rsid w:val="358160C2"/>
    <w:rsid w:val="373FC3C7"/>
    <w:rsid w:val="374D5DB3"/>
    <w:rsid w:val="381E2F53"/>
    <w:rsid w:val="38C66C69"/>
    <w:rsid w:val="393D0A94"/>
    <w:rsid w:val="39700927"/>
    <w:rsid w:val="39924D42"/>
    <w:rsid w:val="39F23A32"/>
    <w:rsid w:val="39FDD4CE"/>
    <w:rsid w:val="3A9E0801"/>
    <w:rsid w:val="3AF410E4"/>
    <w:rsid w:val="3B0847B6"/>
    <w:rsid w:val="3B105D53"/>
    <w:rsid w:val="3B182ADC"/>
    <w:rsid w:val="3B36794F"/>
    <w:rsid w:val="3B451940"/>
    <w:rsid w:val="3BA37041"/>
    <w:rsid w:val="3C8B44D8"/>
    <w:rsid w:val="3CD10FD7"/>
    <w:rsid w:val="3CDB69FF"/>
    <w:rsid w:val="3E28224C"/>
    <w:rsid w:val="3E3D6021"/>
    <w:rsid w:val="3E5D85F5"/>
    <w:rsid w:val="3EB80015"/>
    <w:rsid w:val="3ED731F4"/>
    <w:rsid w:val="3EEA2D6B"/>
    <w:rsid w:val="3EEF22EE"/>
    <w:rsid w:val="3EF8111B"/>
    <w:rsid w:val="3F113D6A"/>
    <w:rsid w:val="3F826B8F"/>
    <w:rsid w:val="3FB36526"/>
    <w:rsid w:val="3FC73DCF"/>
    <w:rsid w:val="3FE74C89"/>
    <w:rsid w:val="3FFE9C2D"/>
    <w:rsid w:val="40131C0B"/>
    <w:rsid w:val="402B6D2B"/>
    <w:rsid w:val="403D13D4"/>
    <w:rsid w:val="405E662A"/>
    <w:rsid w:val="41010519"/>
    <w:rsid w:val="416625D7"/>
    <w:rsid w:val="42852E24"/>
    <w:rsid w:val="428C5F04"/>
    <w:rsid w:val="437B6846"/>
    <w:rsid w:val="438318C1"/>
    <w:rsid w:val="43881319"/>
    <w:rsid w:val="43917E18"/>
    <w:rsid w:val="440B5E1C"/>
    <w:rsid w:val="44356903"/>
    <w:rsid w:val="44604B02"/>
    <w:rsid w:val="44987984"/>
    <w:rsid w:val="45B20519"/>
    <w:rsid w:val="45CC22D2"/>
    <w:rsid w:val="471759BE"/>
    <w:rsid w:val="475353E4"/>
    <w:rsid w:val="47F50B1C"/>
    <w:rsid w:val="47FFFC44"/>
    <w:rsid w:val="483F42E6"/>
    <w:rsid w:val="491770D2"/>
    <w:rsid w:val="49557B3A"/>
    <w:rsid w:val="498C3F8E"/>
    <w:rsid w:val="499D081B"/>
    <w:rsid w:val="4A331C29"/>
    <w:rsid w:val="4A6432EA"/>
    <w:rsid w:val="4ACC3E2B"/>
    <w:rsid w:val="4AF75521"/>
    <w:rsid w:val="4BDD606A"/>
    <w:rsid w:val="4C20442F"/>
    <w:rsid w:val="4C4A7B25"/>
    <w:rsid w:val="4CA010CC"/>
    <w:rsid w:val="4DE1199C"/>
    <w:rsid w:val="4DEF2C23"/>
    <w:rsid w:val="4E1738D6"/>
    <w:rsid w:val="4E1F651F"/>
    <w:rsid w:val="4E9C6C2D"/>
    <w:rsid w:val="4F725B5E"/>
    <w:rsid w:val="4FA113E3"/>
    <w:rsid w:val="50494C0B"/>
    <w:rsid w:val="506B2778"/>
    <w:rsid w:val="514D1683"/>
    <w:rsid w:val="518422A4"/>
    <w:rsid w:val="51F454F7"/>
    <w:rsid w:val="520954EF"/>
    <w:rsid w:val="520A60D7"/>
    <w:rsid w:val="526D7C4E"/>
    <w:rsid w:val="52D7336D"/>
    <w:rsid w:val="52E94880"/>
    <w:rsid w:val="54262D44"/>
    <w:rsid w:val="55314FB7"/>
    <w:rsid w:val="55326F81"/>
    <w:rsid w:val="55490372"/>
    <w:rsid w:val="56273917"/>
    <w:rsid w:val="56D90EDD"/>
    <w:rsid w:val="570635C6"/>
    <w:rsid w:val="575056AC"/>
    <w:rsid w:val="57DB6294"/>
    <w:rsid w:val="5800066E"/>
    <w:rsid w:val="584908DF"/>
    <w:rsid w:val="58EE056F"/>
    <w:rsid w:val="5955746E"/>
    <w:rsid w:val="5960163C"/>
    <w:rsid w:val="5A9EA515"/>
    <w:rsid w:val="5AB775BC"/>
    <w:rsid w:val="5AC07136"/>
    <w:rsid w:val="5C54506A"/>
    <w:rsid w:val="5C6171FB"/>
    <w:rsid w:val="5D573A29"/>
    <w:rsid w:val="5D82671F"/>
    <w:rsid w:val="5DAE6737"/>
    <w:rsid w:val="5E465EA2"/>
    <w:rsid w:val="5EEE6962"/>
    <w:rsid w:val="5F5C5326"/>
    <w:rsid w:val="5FFF1AD1"/>
    <w:rsid w:val="5FFF391F"/>
    <w:rsid w:val="5FFFC7B1"/>
    <w:rsid w:val="60361236"/>
    <w:rsid w:val="605B3830"/>
    <w:rsid w:val="60776749"/>
    <w:rsid w:val="607B04DC"/>
    <w:rsid w:val="60B53A75"/>
    <w:rsid w:val="60BB454D"/>
    <w:rsid w:val="6110461A"/>
    <w:rsid w:val="61564461"/>
    <w:rsid w:val="617F6A80"/>
    <w:rsid w:val="61BE75CC"/>
    <w:rsid w:val="62517EDA"/>
    <w:rsid w:val="629341F9"/>
    <w:rsid w:val="62EF200D"/>
    <w:rsid w:val="63332842"/>
    <w:rsid w:val="63412DD7"/>
    <w:rsid w:val="634D434D"/>
    <w:rsid w:val="63C94CC3"/>
    <w:rsid w:val="642C0DD0"/>
    <w:rsid w:val="645B5322"/>
    <w:rsid w:val="64DA6F7A"/>
    <w:rsid w:val="65D80EFF"/>
    <w:rsid w:val="661105F0"/>
    <w:rsid w:val="666E7BF8"/>
    <w:rsid w:val="66975639"/>
    <w:rsid w:val="66BD0062"/>
    <w:rsid w:val="66EA780E"/>
    <w:rsid w:val="671F55B7"/>
    <w:rsid w:val="6894340C"/>
    <w:rsid w:val="69236EB5"/>
    <w:rsid w:val="69821FB7"/>
    <w:rsid w:val="69F44399"/>
    <w:rsid w:val="6A0847E1"/>
    <w:rsid w:val="6A5135AE"/>
    <w:rsid w:val="6AB6543D"/>
    <w:rsid w:val="6B015276"/>
    <w:rsid w:val="6B1808E9"/>
    <w:rsid w:val="6B2C4AF8"/>
    <w:rsid w:val="6B8C0D41"/>
    <w:rsid w:val="6BE42AF3"/>
    <w:rsid w:val="6BF77F37"/>
    <w:rsid w:val="6D716441"/>
    <w:rsid w:val="6DBF5A6D"/>
    <w:rsid w:val="6E103324"/>
    <w:rsid w:val="6E3D5865"/>
    <w:rsid w:val="6F3D0A66"/>
    <w:rsid w:val="6F78CF2C"/>
    <w:rsid w:val="6F7E7C3A"/>
    <w:rsid w:val="6FA16EF1"/>
    <w:rsid w:val="6FA56875"/>
    <w:rsid w:val="6FE777FF"/>
    <w:rsid w:val="70872304"/>
    <w:rsid w:val="71E13469"/>
    <w:rsid w:val="72312642"/>
    <w:rsid w:val="72A02D07"/>
    <w:rsid w:val="72BD4BC0"/>
    <w:rsid w:val="731420FA"/>
    <w:rsid w:val="735FE0D0"/>
    <w:rsid w:val="7378031E"/>
    <w:rsid w:val="739D2368"/>
    <w:rsid w:val="73A470BA"/>
    <w:rsid w:val="73DE1993"/>
    <w:rsid w:val="73E1307C"/>
    <w:rsid w:val="74542534"/>
    <w:rsid w:val="747C6652"/>
    <w:rsid w:val="74C9343F"/>
    <w:rsid w:val="74E42455"/>
    <w:rsid w:val="754709DE"/>
    <w:rsid w:val="75956A44"/>
    <w:rsid w:val="75E12E54"/>
    <w:rsid w:val="75FF068B"/>
    <w:rsid w:val="76DB492B"/>
    <w:rsid w:val="772005D8"/>
    <w:rsid w:val="77475863"/>
    <w:rsid w:val="78F16A4A"/>
    <w:rsid w:val="791B36EB"/>
    <w:rsid w:val="793C9DBE"/>
    <w:rsid w:val="797BA978"/>
    <w:rsid w:val="7A373689"/>
    <w:rsid w:val="7A414C20"/>
    <w:rsid w:val="7A98395D"/>
    <w:rsid w:val="7B130D04"/>
    <w:rsid w:val="7B454A69"/>
    <w:rsid w:val="7B9ECC9B"/>
    <w:rsid w:val="7BCF4B36"/>
    <w:rsid w:val="7BD21D4F"/>
    <w:rsid w:val="7BD825A6"/>
    <w:rsid w:val="7C127DC3"/>
    <w:rsid w:val="7C4C5C4E"/>
    <w:rsid w:val="7C564F6C"/>
    <w:rsid w:val="7CCE0EC6"/>
    <w:rsid w:val="7D715FE9"/>
    <w:rsid w:val="7DDFC3F5"/>
    <w:rsid w:val="7DEF70B6"/>
    <w:rsid w:val="7E6077BC"/>
    <w:rsid w:val="7E7FB438"/>
    <w:rsid w:val="7EAF8067"/>
    <w:rsid w:val="7EDD32D7"/>
    <w:rsid w:val="7F3FB13F"/>
    <w:rsid w:val="7F7F3610"/>
    <w:rsid w:val="7F9129BE"/>
    <w:rsid w:val="7FCE13FC"/>
    <w:rsid w:val="7FDB083D"/>
    <w:rsid w:val="7FFF131A"/>
    <w:rsid w:val="ABFA47B1"/>
    <w:rsid w:val="AFDF64BE"/>
    <w:rsid w:val="B5AF13C0"/>
    <w:rsid w:val="B6BA8FA6"/>
    <w:rsid w:val="B76C0F51"/>
    <w:rsid w:val="BADAE6B4"/>
    <w:rsid w:val="BB9FEE50"/>
    <w:rsid w:val="BD7F012F"/>
    <w:rsid w:val="BDFFE94D"/>
    <w:rsid w:val="BF59083E"/>
    <w:rsid w:val="BF5FA732"/>
    <w:rsid w:val="C9BD1169"/>
    <w:rsid w:val="CBF72ACE"/>
    <w:rsid w:val="CEAB930C"/>
    <w:rsid w:val="CFEC6137"/>
    <w:rsid w:val="D6F608F2"/>
    <w:rsid w:val="D7C309AB"/>
    <w:rsid w:val="DBED15F1"/>
    <w:rsid w:val="DEFB9B99"/>
    <w:rsid w:val="DEFF193D"/>
    <w:rsid w:val="E77DAD8A"/>
    <w:rsid w:val="E7FCBC73"/>
    <w:rsid w:val="EF6E48C1"/>
    <w:rsid w:val="EFAED748"/>
    <w:rsid w:val="F1DFE972"/>
    <w:rsid w:val="F5BF7428"/>
    <w:rsid w:val="F6C55C6B"/>
    <w:rsid w:val="F9DF18D4"/>
    <w:rsid w:val="FA1B7D83"/>
    <w:rsid w:val="FB59EEB0"/>
    <w:rsid w:val="FB656B78"/>
    <w:rsid w:val="FBEF1F89"/>
    <w:rsid w:val="FC51C119"/>
    <w:rsid w:val="FCADE169"/>
    <w:rsid w:val="FCBE0893"/>
    <w:rsid w:val="FD3FA3C6"/>
    <w:rsid w:val="FD7FF86E"/>
    <w:rsid w:val="FDEC22DD"/>
    <w:rsid w:val="FE39E8CA"/>
    <w:rsid w:val="FE7D9FB7"/>
    <w:rsid w:val="FFDD0D5B"/>
    <w:rsid w:val="FFDD1FBE"/>
    <w:rsid w:val="FFFF16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99" w:semiHidden="0" w:name="toc 7"/>
    <w:lsdException w:unhideWhenUsed="0" w:uiPriority="0" w:semiHidden="0" w:name="toc 8"/>
    <w:lsdException w:qFormat="1"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9"/>
    <w:pPr>
      <w:keepNext/>
      <w:widowControl/>
      <w:numPr>
        <w:ilvl w:val="2"/>
        <w:numId w:val="1"/>
      </w:numPr>
      <w:spacing w:before="120" w:after="60" w:line="360" w:lineRule="auto"/>
      <w:jc w:val="left"/>
      <w:outlineLvl w:val="2"/>
    </w:pPr>
    <w:rPr>
      <w:rFonts w:ascii="Cambria" w:hAnsi="Cambria" w:eastAsia="宋体" w:cs="Times New Roman"/>
      <w:b/>
      <w:bCs/>
      <w:kern w:val="0"/>
      <w:sz w:val="28"/>
      <w:szCs w:val="26"/>
      <w:lang w:eastAsia="en-US" w:bidi="en-US"/>
    </w:rPr>
  </w:style>
  <w:style w:type="paragraph" w:styleId="3">
    <w:name w:val="heading 4"/>
    <w:basedOn w:val="1"/>
    <w:next w:val="1"/>
    <w:qFormat/>
    <w:uiPriority w:val="0"/>
    <w:pPr>
      <w:keepNext/>
      <w:keepLines/>
      <w:adjustRightInd w:val="0"/>
      <w:snapToGrid w:val="0"/>
      <w:spacing w:before="120" w:after="120"/>
      <w:outlineLvl w:val="3"/>
    </w:pPr>
    <w:rPr>
      <w:rFonts w:ascii="Arial" w:hAnsi="Arial"/>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toc 7"/>
    <w:basedOn w:val="1"/>
    <w:next w:val="1"/>
    <w:qFormat/>
    <w:uiPriority w:val="99"/>
    <w:pPr>
      <w:ind w:left="2520" w:leftChars="1200"/>
    </w:pPr>
  </w:style>
  <w:style w:type="paragraph" w:styleId="5">
    <w:name w:val="Normal Indent"/>
    <w:basedOn w:val="1"/>
    <w:qFormat/>
    <w:uiPriority w:val="99"/>
    <w:pPr>
      <w:ind w:firstLine="420"/>
    </w:pPr>
    <w:rPr>
      <w:szCs w:val="20"/>
    </w:rPr>
  </w:style>
  <w:style w:type="paragraph" w:styleId="6">
    <w:name w:val="annotation text"/>
    <w:basedOn w:val="1"/>
    <w:link w:val="34"/>
    <w:qFormat/>
    <w:uiPriority w:val="0"/>
    <w:pPr>
      <w:keepNext w:val="0"/>
      <w:keepLines w:val="0"/>
      <w:widowControl w:val="0"/>
      <w:suppressLineNumbers w:val="0"/>
      <w:spacing w:before="0" w:beforeAutospacing="0" w:after="0" w:afterAutospacing="0"/>
      <w:ind w:left="0" w:right="0"/>
      <w:jc w:val="left"/>
    </w:pPr>
    <w:rPr>
      <w:rFonts w:hint="default" w:ascii="Times New Roman" w:hAnsi="Times New Roman" w:eastAsia="宋体" w:cs="Times New Roman"/>
      <w:kern w:val="2"/>
      <w:sz w:val="21"/>
      <w:szCs w:val="24"/>
      <w:lang w:val="en-US" w:eastAsia="zh-CN" w:bidi="ar"/>
    </w:rPr>
  </w:style>
  <w:style w:type="paragraph" w:styleId="7">
    <w:name w:val="Body Text"/>
    <w:basedOn w:val="1"/>
    <w:qFormat/>
    <w:uiPriority w:val="0"/>
    <w:pPr>
      <w:spacing w:line="380" w:lineRule="exact"/>
    </w:pPr>
    <w:rPr>
      <w:sz w:val="24"/>
    </w:rPr>
  </w:style>
  <w:style w:type="paragraph" w:styleId="8">
    <w:name w:val="Body Text Indent"/>
    <w:basedOn w:val="1"/>
    <w:next w:val="1"/>
    <w:qFormat/>
    <w:uiPriority w:val="0"/>
    <w:pPr>
      <w:ind w:firstLine="830" w:firstLineChars="352"/>
    </w:pPr>
    <w:rPr>
      <w:rFonts w:ascii="仿宋_GB2312" w:eastAsia="仿宋_GB2312"/>
      <w:sz w:val="32"/>
    </w:rPr>
  </w:style>
  <w:style w:type="paragraph" w:styleId="9">
    <w:name w:val="List 2"/>
    <w:basedOn w:val="1"/>
    <w:qFormat/>
    <w:uiPriority w:val="0"/>
    <w:pPr>
      <w:ind w:left="100" w:leftChars="200" w:hanging="200" w:hangingChars="200"/>
    </w:pPr>
    <w:rPr>
      <w:sz w:val="28"/>
    </w:rPr>
  </w:style>
  <w:style w:type="paragraph" w:styleId="10">
    <w:name w:val="Plain Text"/>
    <w:basedOn w:val="1"/>
    <w:next w:val="3"/>
    <w:qFormat/>
    <w:uiPriority w:val="0"/>
    <w:rPr>
      <w:rFonts w:ascii="宋体" w:hAnsi="Courier New" w:cs="Courier New"/>
      <w:szCs w:val="21"/>
    </w:rPr>
  </w:style>
  <w:style w:type="paragraph" w:styleId="11">
    <w:name w:val="Body Text Indent 2"/>
    <w:basedOn w:val="1"/>
    <w:qFormat/>
    <w:uiPriority w:val="0"/>
    <w:pPr>
      <w:ind w:firstLine="630"/>
    </w:pPr>
    <w:rPr>
      <w:sz w:val="32"/>
      <w:szCs w:val="20"/>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style>
  <w:style w:type="paragraph" w:styleId="15">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16">
    <w:name w:val="Normal (Web)"/>
    <w:qFormat/>
    <w:uiPriority w:val="0"/>
    <w:pPr>
      <w:widowControl/>
      <w:spacing w:before="100" w:beforeAutospacing="1" w:after="100" w:afterAutospacing="1"/>
      <w:jc w:val="left"/>
    </w:pPr>
    <w:rPr>
      <w:rFonts w:ascii="宋体" w:hAnsi="宋体" w:eastAsia="宋体" w:cs="宋体"/>
      <w:kern w:val="0"/>
      <w:sz w:val="24"/>
      <w:szCs w:val="24"/>
      <w:lang w:val="en-US" w:eastAsia="zh-CN" w:bidi="ar-SA"/>
    </w:rPr>
  </w:style>
  <w:style w:type="paragraph" w:styleId="17">
    <w:name w:val="Title"/>
    <w:basedOn w:val="1"/>
    <w:next w:val="1"/>
    <w:qFormat/>
    <w:uiPriority w:val="0"/>
    <w:pPr>
      <w:spacing w:before="240" w:after="60"/>
      <w:jc w:val="center"/>
      <w:outlineLvl w:val="0"/>
    </w:pPr>
    <w:rPr>
      <w:rFonts w:ascii="Cambria" w:hAnsi="Cambria"/>
      <w:b/>
      <w:bCs/>
      <w:sz w:val="32"/>
      <w:szCs w:val="32"/>
    </w:rPr>
  </w:style>
  <w:style w:type="paragraph" w:styleId="18">
    <w:name w:val="annotation subject"/>
    <w:basedOn w:val="6"/>
    <w:next w:val="6"/>
    <w:link w:val="35"/>
    <w:qFormat/>
    <w:uiPriority w:val="0"/>
    <w:rPr>
      <w:b/>
      <w:bCs/>
    </w:rPr>
  </w:style>
  <w:style w:type="paragraph" w:styleId="19">
    <w:name w:val="Body Text First Indent"/>
    <w:basedOn w:val="7"/>
    <w:unhideWhenUsed/>
    <w:qFormat/>
    <w:uiPriority w:val="99"/>
    <w:pPr>
      <w:ind w:firstLine="420" w:firstLineChars="100"/>
    </w:pPr>
    <w:rPr>
      <w:rFonts w:ascii="Calibri" w:hAnsi="Calibri"/>
      <w:sz w:val="21"/>
      <w:szCs w:val="22"/>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qFormat/>
    <w:uiPriority w:val="0"/>
    <w:rPr>
      <w:rFonts w:ascii="Times New Roman" w:hAnsi="Times New Roman" w:eastAsia="宋体" w:cs="Times New Roman"/>
    </w:rPr>
  </w:style>
  <w:style w:type="character" w:styleId="24">
    <w:name w:val="Hyperlink"/>
    <w:qFormat/>
    <w:uiPriority w:val="0"/>
    <w:rPr>
      <w:color w:val="0000CC"/>
      <w:sz w:val="18"/>
      <w:szCs w:val="18"/>
      <w:u w:val="single"/>
    </w:rPr>
  </w:style>
  <w:style w:type="character" w:styleId="25">
    <w:name w:val="annotation reference"/>
    <w:basedOn w:val="22"/>
    <w:qFormat/>
    <w:uiPriority w:val="0"/>
    <w:rPr>
      <w:sz w:val="21"/>
      <w:szCs w:val="21"/>
    </w:rPr>
  </w:style>
  <w:style w:type="paragraph" w:customStyle="1" w:styleId="26">
    <w:name w:val="toc 12"/>
    <w:next w:val="1"/>
    <w:qFormat/>
    <w:uiPriority w:val="0"/>
    <w:pPr>
      <w:wordWrap w:val="0"/>
      <w:jc w:val="both"/>
    </w:pPr>
    <w:rPr>
      <w:rFonts w:ascii="宋体" w:hAnsi="宋体" w:eastAsia="宋体" w:cs="Times New Roman"/>
      <w:sz w:val="21"/>
      <w:lang w:val="en-US" w:eastAsia="zh-CN" w:bidi="ar-SA"/>
    </w:rPr>
  </w:style>
  <w:style w:type="paragraph" w:customStyle="1" w:styleId="27">
    <w:name w:val="Default"/>
    <w:qFormat/>
    <w:uiPriority w:val="0"/>
    <w:pPr>
      <w:widowControl w:val="0"/>
      <w:autoSpaceDE w:val="0"/>
      <w:autoSpaceDN w:val="0"/>
      <w:adjustRightInd w:val="0"/>
    </w:pPr>
    <w:rPr>
      <w:rFonts w:ascii="宋体" w:hAnsi="宋体" w:eastAsia="宋体" w:cs="Times New Roman"/>
      <w:color w:val="000000"/>
      <w:sz w:val="24"/>
      <w:lang w:val="en-US" w:eastAsia="zh-CN" w:bidi="ar-SA"/>
    </w:rPr>
  </w:style>
  <w:style w:type="paragraph" w:customStyle="1" w:styleId="28">
    <w:name w:val="1"/>
    <w:basedOn w:val="1"/>
    <w:next w:val="10"/>
    <w:qFormat/>
    <w:uiPriority w:val="0"/>
    <w:rPr>
      <w:rFonts w:ascii="宋体" w:hAnsi="Courier New"/>
      <w:szCs w:val="20"/>
    </w:rPr>
  </w:style>
  <w:style w:type="paragraph" w:customStyle="1" w:styleId="29">
    <w:name w:val="默认段落字体 Para Char Char Char Char Char Char Char Char Char1 Char Char Char Char"/>
    <w:basedOn w:val="1"/>
    <w:qFormat/>
    <w:uiPriority w:val="0"/>
    <w:rPr>
      <w:rFonts w:ascii="Tahoma" w:hAnsi="Tahoma"/>
      <w:sz w:val="24"/>
      <w:szCs w:val="20"/>
    </w:rPr>
  </w:style>
  <w:style w:type="paragraph" w:styleId="30">
    <w:name w:val="List Paragraph"/>
    <w:basedOn w:val="1"/>
    <w:qFormat/>
    <w:uiPriority w:val="1"/>
    <w:pPr>
      <w:ind w:firstLine="420" w:firstLineChars="200"/>
    </w:pPr>
  </w:style>
  <w:style w:type="paragraph" w:customStyle="1" w:styleId="31">
    <w:name w:val="Table Paragraph"/>
    <w:basedOn w:val="1"/>
    <w:qFormat/>
    <w:uiPriority w:val="1"/>
    <w:pPr>
      <w:jc w:val="left"/>
    </w:pPr>
    <w:rPr>
      <w:kern w:val="0"/>
      <w:sz w:val="22"/>
      <w:lang w:eastAsia="en-US"/>
    </w:rPr>
  </w:style>
  <w:style w:type="paragraph" w:customStyle="1" w:styleId="32">
    <w:name w:val="表格文字"/>
    <w:basedOn w:val="1"/>
    <w:qFormat/>
    <w:uiPriority w:val="0"/>
    <w:pPr>
      <w:adjustRightInd w:val="0"/>
      <w:spacing w:line="420" w:lineRule="atLeast"/>
      <w:jc w:val="left"/>
      <w:textAlignment w:val="baseline"/>
    </w:pPr>
    <w:rPr>
      <w:kern w:val="0"/>
    </w:rPr>
  </w:style>
  <w:style w:type="paragraph" w:customStyle="1" w:styleId="33">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34">
    <w:name w:val="批注文字 字符"/>
    <w:basedOn w:val="22"/>
    <w:link w:val="6"/>
    <w:qFormat/>
    <w:uiPriority w:val="0"/>
    <w:rPr>
      <w:rFonts w:ascii="Times New Roman" w:hAnsi="Times New Roman" w:eastAsia="宋体" w:cs="Times New Roman"/>
      <w:kern w:val="2"/>
      <w:sz w:val="21"/>
      <w:szCs w:val="24"/>
    </w:rPr>
  </w:style>
  <w:style w:type="character" w:customStyle="1" w:styleId="35">
    <w:name w:val="批注主题 字符"/>
    <w:basedOn w:val="34"/>
    <w:link w:val="18"/>
    <w:qFormat/>
    <w:uiPriority w:val="0"/>
    <w:rPr>
      <w:rFonts w:ascii="Times New Roman" w:hAnsi="Times New Roman" w:eastAsia="宋体" w:cs="Times New Roman"/>
      <w:b/>
      <w:bCs/>
      <w:kern w:val="2"/>
      <w:sz w:val="21"/>
      <w:szCs w:val="24"/>
    </w:rPr>
  </w:style>
  <w:style w:type="paragraph" w:customStyle="1" w:styleId="36">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37">
    <w:name w:val="_Style 1"/>
    <w:qFormat/>
    <w:uiPriority w:val="34"/>
    <w:pPr>
      <w:widowControl w:val="0"/>
      <w:spacing w:line="560" w:lineRule="exact"/>
      <w:ind w:firstLine="420" w:firstLineChars="200"/>
      <w:jc w:val="both"/>
    </w:pPr>
    <w:rPr>
      <w:rFonts w:ascii="Times New Roman" w:hAnsi="Times New Roman" w:eastAsia="宋体" w:cs="Times New Roman"/>
      <w:kern w:val="2"/>
      <w:sz w:val="21"/>
      <w:szCs w:val="21"/>
      <w:lang w:val="en-US" w:eastAsia="zh-CN" w:bidi="ar-SA"/>
    </w:rPr>
  </w:style>
  <w:style w:type="table" w:customStyle="1" w:styleId="38">
    <w:name w:val="Table Normal"/>
    <w:unhideWhenUsed/>
    <w:qFormat/>
    <w:uiPriority w:val="0"/>
    <w:tblPr>
      <w:tblCellMar>
        <w:top w:w="0" w:type="dxa"/>
        <w:left w:w="0" w:type="dxa"/>
        <w:bottom w:w="0" w:type="dxa"/>
        <w:right w:w="0" w:type="dxa"/>
      </w:tblCellMar>
    </w:tblPr>
  </w:style>
  <w:style w:type="paragraph" w:customStyle="1" w:styleId="39">
    <w:name w:val="Table Text"/>
    <w:semiHidden/>
    <w:qFormat/>
    <w:uiPriority w:val="0"/>
    <w:pPr>
      <w:kinsoku w:val="0"/>
      <w:autoSpaceDE w:val="0"/>
      <w:autoSpaceDN w:val="0"/>
      <w:adjustRightInd w:val="0"/>
      <w:snapToGrid w:val="0"/>
      <w:spacing w:line="240" w:lineRule="auto"/>
      <w:jc w:val="left"/>
      <w:textAlignment w:val="baseline"/>
    </w:pPr>
    <w:rPr>
      <w:rFonts w:ascii="微软雅黑" w:hAnsi="微软雅黑" w:eastAsia="微软雅黑" w:cs="微软雅黑"/>
      <w:snapToGrid w:val="0"/>
      <w:color w:val="000000"/>
      <w:kern w:val="0"/>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40</Pages>
  <Words>23323</Words>
  <Characters>24817</Characters>
  <Lines>203</Lines>
  <Paragraphs>57</Paragraphs>
  <TotalTime>7</TotalTime>
  <ScaleCrop>false</ScaleCrop>
  <LinksUpToDate>false</LinksUpToDate>
  <CharactersWithSpaces>26763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2023-07-20T10:53:00Z</dcterms:created>
  <dc:creator>办公小助手</dc:creator>
  <cp:lastModifiedBy>lly</cp:lastModifiedBy>
  <dcterms:modified xsi:type="dcterms:W3CDTF">2025-11-24T10:55:22Z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244AA74D6CB4412D9D1BFEE8F01AB950_13</vt:lpwstr>
  </property>
  <property fmtid="{D5CDD505-2E9C-101B-9397-08002B2CF9AE}" pid="4" name="KSOTemplateDocerSaveRecord">
    <vt:lpwstr>eyJoZGlkIjoiOTM2NGU2NDJlODU4NTllZTZjMTk1MjllZWU1ZThiYzAiLCJ1c2VySWQiOiI0MjY5MzMyNDMifQ==</vt:lpwstr>
  </property>
</Properties>
</file>