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DA9BA">
      <w:pPr>
        <w:shd w:val="clear"/>
        <w:jc w:val="center"/>
        <w:rPr>
          <w:rFonts w:hint="eastAsia" w:ascii="华文新魏" w:hAnsi="宋体" w:eastAsia="华文新魏"/>
          <w:color w:val="auto"/>
          <w:sz w:val="52"/>
          <w:szCs w:val="52"/>
          <w:highlight w:val="none"/>
        </w:rPr>
      </w:pPr>
      <w:r>
        <w:rPr>
          <w:rFonts w:hint="eastAsia" w:ascii="宋体" w:hAnsi="宋体" w:eastAsia="宋体" w:cs="宋体"/>
          <w:color w:val="auto"/>
          <w:sz w:val="84"/>
          <w:szCs w:val="84"/>
          <w:highlight w:val="none"/>
        </w:rPr>
        <w:t>广西国力招标有限公司</w:t>
      </w:r>
    </w:p>
    <w:p w14:paraId="4E19DC64">
      <w:pPr>
        <w:shd w:val="clear"/>
        <w:spacing w:before="156" w:beforeLines="50"/>
        <w:jc w:val="center"/>
        <w:rPr>
          <w:rFonts w:hint="eastAsia" w:ascii="楷体" w:hAnsi="楷体" w:eastAsia="楷体"/>
          <w:color w:val="auto"/>
          <w:sz w:val="48"/>
          <w:szCs w:val="48"/>
          <w:highlight w:val="none"/>
        </w:rPr>
      </w:pPr>
    </w:p>
    <w:p w14:paraId="52F3899D">
      <w:pPr>
        <w:shd w:val="clea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竞争性磋商文件</w:t>
      </w:r>
    </w:p>
    <w:p w14:paraId="214F095D">
      <w:pPr>
        <w:pStyle w:val="10"/>
        <w:shd w:val="clear"/>
        <w:snapToGrid w:val="0"/>
        <w:spacing w:before="120" w:after="120" w:line="360" w:lineRule="auto"/>
        <w:rPr>
          <w:rFonts w:hint="eastAsia" w:ascii="仿宋_GB2312" w:hAnsi="宋体" w:eastAsia="仿宋_GB2312"/>
          <w:b/>
          <w:bCs/>
          <w:color w:val="auto"/>
          <w:sz w:val="30"/>
          <w:szCs w:val="30"/>
          <w:highlight w:val="none"/>
        </w:rPr>
      </w:pPr>
    </w:p>
    <w:p w14:paraId="46C07B39">
      <w:pPr>
        <w:pStyle w:val="10"/>
        <w:shd w:val="clear"/>
        <w:snapToGrid w:val="0"/>
        <w:spacing w:before="120" w:after="120" w:line="360" w:lineRule="auto"/>
        <w:jc w:val="center"/>
        <w:rPr>
          <w:rFonts w:hint="eastAsia" w:ascii="仿宋_GB2312" w:hAnsi="宋体" w:eastAsia="仿宋_GB2312"/>
          <w:b/>
          <w:bCs/>
          <w:color w:val="auto"/>
          <w:sz w:val="30"/>
          <w:szCs w:val="30"/>
          <w:highlight w:val="none"/>
        </w:rPr>
      </w:pPr>
    </w:p>
    <w:p w14:paraId="5B028751">
      <w:pPr>
        <w:pStyle w:val="4"/>
        <w:shd w:val="clear"/>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0" distR="0">
            <wp:extent cx="2378075" cy="1691005"/>
            <wp:effectExtent l="0" t="0" r="3175" b="4445"/>
            <wp:docPr id="1026" name="图片 1" descr="logo"/>
            <wp:cNvGraphicFramePr/>
            <a:graphic xmlns:a="http://schemas.openxmlformats.org/drawingml/2006/main">
              <a:graphicData uri="http://schemas.openxmlformats.org/drawingml/2006/picture">
                <pic:pic xmlns:pic="http://schemas.openxmlformats.org/drawingml/2006/picture">
                  <pic:nvPicPr>
                    <pic:cNvPr id="1026" name="图片 1" descr="logo"/>
                    <pic:cNvPicPr/>
                  </pic:nvPicPr>
                  <pic:blipFill>
                    <a:blip r:embed="rId10" cstate="print"/>
                    <a:srcRect/>
                    <a:stretch>
                      <a:fillRect/>
                    </a:stretch>
                  </pic:blipFill>
                  <pic:spPr>
                    <a:xfrm>
                      <a:off x="0" y="0"/>
                      <a:ext cx="2378075" cy="1691005"/>
                    </a:xfrm>
                    <a:prstGeom prst="rect">
                      <a:avLst/>
                    </a:prstGeom>
                    <a:ln>
                      <a:noFill/>
                    </a:ln>
                  </pic:spPr>
                </pic:pic>
              </a:graphicData>
            </a:graphic>
          </wp:inline>
        </w:drawing>
      </w:r>
    </w:p>
    <w:p w14:paraId="42BE0580">
      <w:pPr>
        <w:shd w:val="clear"/>
        <w:rPr>
          <w:rFonts w:hint="eastAsia" w:ascii="仿宋_GB2312" w:hAnsi="宋体" w:eastAsia="仿宋_GB2312"/>
          <w:b/>
          <w:bCs/>
          <w:color w:val="auto"/>
          <w:sz w:val="30"/>
          <w:szCs w:val="30"/>
          <w:highlight w:val="none"/>
        </w:rPr>
      </w:pPr>
    </w:p>
    <w:p w14:paraId="50DDA9EF">
      <w:pPr>
        <w:shd w:val="clear"/>
        <w:rPr>
          <w:rFonts w:hint="eastAsia" w:ascii="仿宋_GB2312" w:hAnsi="宋体" w:eastAsia="仿宋_GB2312"/>
          <w:b/>
          <w:bCs/>
          <w:color w:val="auto"/>
          <w:sz w:val="30"/>
          <w:szCs w:val="30"/>
          <w:highlight w:val="none"/>
        </w:rPr>
      </w:pPr>
    </w:p>
    <w:p w14:paraId="19EA4634">
      <w:pPr>
        <w:shd w:val="clear"/>
        <w:rPr>
          <w:rFonts w:hint="eastAsia" w:ascii="仿宋_GB2312" w:hAnsi="宋体" w:eastAsia="仿宋_GB2312"/>
          <w:b/>
          <w:bCs/>
          <w:color w:val="auto"/>
          <w:sz w:val="30"/>
          <w:szCs w:val="30"/>
          <w:highlight w:val="none"/>
        </w:rPr>
      </w:pPr>
    </w:p>
    <w:p w14:paraId="1CC567C2">
      <w:pPr>
        <w:pStyle w:val="10"/>
        <w:keepNext w:val="0"/>
        <w:keepLines w:val="0"/>
        <w:pageBreakBefore w:val="0"/>
        <w:widowControl w:val="0"/>
        <w:shd w:val="clear"/>
        <w:kinsoku/>
        <w:wordWrap/>
        <w:overflowPunct/>
        <w:topLinePunct w:val="0"/>
        <w:autoSpaceDE/>
        <w:autoSpaceDN/>
        <w:bidi w:val="0"/>
        <w:adjustRightInd/>
        <w:snapToGrid w:val="0"/>
        <w:spacing w:before="120" w:after="120" w:line="600" w:lineRule="exact"/>
        <w:ind w:firstLine="0" w:firstLineChars="0"/>
        <w:jc w:val="center"/>
        <w:textAlignment w:val="auto"/>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GXGL2025S-C647-Z</w:t>
      </w:r>
    </w:p>
    <w:p w14:paraId="2FFDC9D6">
      <w:pPr>
        <w:pStyle w:val="10"/>
        <w:keepNext w:val="0"/>
        <w:keepLines w:val="0"/>
        <w:pageBreakBefore w:val="0"/>
        <w:widowControl w:val="0"/>
        <w:shd w:val="clear"/>
        <w:kinsoku/>
        <w:wordWrap/>
        <w:overflowPunct/>
        <w:topLinePunct w:val="0"/>
        <w:autoSpaceDE/>
        <w:autoSpaceDN/>
        <w:bidi w:val="0"/>
        <w:adjustRightInd/>
        <w:snapToGrid w:val="0"/>
        <w:spacing w:before="120" w:after="120" w:line="500" w:lineRule="exact"/>
        <w:ind w:left="2523" w:leftChars="0" w:hanging="2523" w:hangingChars="700"/>
        <w:jc w:val="left"/>
        <w:textAlignment w:val="auto"/>
        <w:rPr>
          <w:rFonts w:ascii="Times New Roman" w:hAnsi="Times New Roman" w:cs="Times New Roman"/>
          <w:b/>
          <w:bCs/>
          <w:color w:val="auto"/>
          <w:sz w:val="36"/>
          <w:szCs w:val="36"/>
          <w:highlight w:val="none"/>
        </w:rPr>
      </w:pPr>
      <w:r>
        <w:rPr>
          <w:rFonts w:hint="eastAsia" w:hAnsi="宋体"/>
          <w:b/>
          <w:color w:val="auto"/>
          <w:sz w:val="36"/>
          <w:szCs w:val="36"/>
          <w:highlight w:val="none"/>
        </w:rPr>
        <w:t>采购项目名称：</w:t>
      </w:r>
      <w:r>
        <w:rPr>
          <w:rFonts w:hint="eastAsia" w:hAnsi="宋体"/>
          <w:b/>
          <w:color w:val="auto"/>
          <w:sz w:val="36"/>
          <w:szCs w:val="36"/>
          <w:highlight w:val="none"/>
          <w:lang w:eastAsia="zh-CN"/>
        </w:rPr>
        <w:t>广西制造工程职业技术学院40#、41#、42#学生宿舍楼项目全过程跟踪审计服务（施工过程造价咨询、工程竣工结算审核）采购</w:t>
      </w:r>
    </w:p>
    <w:p w14:paraId="1A6E72D9">
      <w:pPr>
        <w:pBdr>
          <w:bottom w:val="thickThinSmallGap" w:color="auto" w:sz="24" w:space="1"/>
        </w:pBdr>
        <w:shd w:val="clear"/>
        <w:snapToGrid w:val="0"/>
        <w:spacing w:before="156" w:beforeLines="50" w:line="500" w:lineRule="exact"/>
        <w:jc w:val="left"/>
        <w:rPr>
          <w:rFonts w:hint="eastAsia" w:ascii="宋体" w:hAnsi="宋体"/>
          <w:b/>
          <w:color w:val="auto"/>
          <w:sz w:val="32"/>
          <w:szCs w:val="36"/>
          <w:highlight w:val="none"/>
        </w:rPr>
      </w:pPr>
    </w:p>
    <w:p w14:paraId="72DF1434">
      <w:pPr>
        <w:shd w:val="clear"/>
        <w:snapToGrid w:val="0"/>
        <w:spacing w:before="156" w:beforeLines="50" w:line="500" w:lineRule="exact"/>
        <w:ind w:firstLine="1802" w:firstLineChars="600"/>
        <w:rPr>
          <w:rFonts w:hint="eastAsia" w:ascii="宋体" w:hAnsi="宋体" w:eastAsia="宋体"/>
          <w:b/>
          <w:dstrike/>
          <w:color w:val="auto"/>
          <w:sz w:val="30"/>
          <w:szCs w:val="72"/>
          <w:highlight w:val="none"/>
          <w:lang w:eastAsia="zh-CN"/>
        </w:rPr>
      </w:pPr>
      <w:r>
        <w:rPr>
          <w:rFonts w:hint="eastAsia" w:ascii="宋体" w:hAnsi="宋体"/>
          <w:b/>
          <w:color w:val="auto"/>
          <w:sz w:val="30"/>
          <w:szCs w:val="72"/>
          <w:highlight w:val="none"/>
        </w:rPr>
        <w:t>采</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购</w:t>
      </w:r>
      <w:r>
        <w:rPr>
          <w:rFonts w:hint="eastAsia" w:ascii="宋体" w:hAnsi="宋体"/>
          <w:b/>
          <w:color w:val="auto"/>
          <w:sz w:val="30"/>
          <w:szCs w:val="72"/>
          <w:highlight w:val="none"/>
          <w:lang w:val="en-US" w:eastAsia="zh-CN"/>
        </w:rPr>
        <w:t xml:space="preserve">   </w:t>
      </w:r>
      <w:r>
        <w:rPr>
          <w:rFonts w:hint="eastAsia" w:ascii="宋体" w:hAnsi="宋体"/>
          <w:b/>
          <w:color w:val="auto"/>
          <w:sz w:val="30"/>
          <w:szCs w:val="72"/>
          <w:highlight w:val="none"/>
        </w:rPr>
        <w:t>人：</w:t>
      </w:r>
      <w:r>
        <w:rPr>
          <w:rFonts w:hint="eastAsia" w:ascii="宋体" w:hAnsi="宋体"/>
          <w:b/>
          <w:color w:val="auto"/>
          <w:sz w:val="30"/>
          <w:szCs w:val="72"/>
          <w:highlight w:val="none"/>
          <w:lang w:eastAsia="zh-CN"/>
        </w:rPr>
        <w:t>广西制造工程职业技术学院</w:t>
      </w:r>
    </w:p>
    <w:p w14:paraId="7F562868">
      <w:pPr>
        <w:shd w:val="clear"/>
        <w:snapToGrid w:val="0"/>
        <w:spacing w:before="156" w:beforeLines="50" w:line="500" w:lineRule="exact"/>
        <w:ind w:firstLine="1802" w:firstLineChars="600"/>
        <w:jc w:val="left"/>
        <w:rPr>
          <w:rFonts w:hint="eastAsia" w:ascii="宋体" w:hAnsi="宋体" w:eastAsia="宋体"/>
          <w:b/>
          <w:color w:val="auto"/>
          <w:sz w:val="30"/>
          <w:szCs w:val="72"/>
          <w:highlight w:val="none"/>
          <w:lang w:eastAsia="zh-CN"/>
        </w:rPr>
      </w:pPr>
      <w:r>
        <w:rPr>
          <w:rFonts w:hint="eastAsia" w:ascii="宋体" w:hAnsi="宋体"/>
          <w:b/>
          <w:color w:val="auto"/>
          <w:sz w:val="30"/>
          <w:szCs w:val="72"/>
          <w:highlight w:val="none"/>
        </w:rPr>
        <w:t>采购代理机构：广西国力招标有限公司</w:t>
      </w:r>
    </w:p>
    <w:p w14:paraId="1B4C3F21">
      <w:pPr>
        <w:shd w:val="clear"/>
        <w:snapToGrid w:val="0"/>
        <w:spacing w:before="156" w:beforeLines="50" w:line="500" w:lineRule="exact"/>
        <w:jc w:val="center"/>
        <w:rPr>
          <w:rFonts w:hint="eastAsia" w:ascii="宋体" w:hAnsi="宋体"/>
          <w:b/>
          <w:color w:val="auto"/>
          <w:sz w:val="30"/>
          <w:szCs w:val="72"/>
          <w:highlight w:val="none"/>
        </w:rPr>
      </w:pPr>
      <w:r>
        <w:rPr>
          <w:rFonts w:hint="eastAsia" w:ascii="宋体" w:hAnsi="宋体"/>
          <w:b/>
          <w:color w:val="auto"/>
          <w:sz w:val="30"/>
          <w:szCs w:val="72"/>
          <w:highlight w:val="none"/>
          <w:lang w:eastAsia="zh-CN"/>
        </w:rPr>
        <w:t>202</w:t>
      </w:r>
      <w:r>
        <w:rPr>
          <w:rFonts w:hint="eastAsia" w:ascii="宋体" w:hAnsi="宋体"/>
          <w:b/>
          <w:color w:val="auto"/>
          <w:sz w:val="30"/>
          <w:szCs w:val="72"/>
          <w:highlight w:val="none"/>
          <w:lang w:val="en-US" w:eastAsia="zh-CN"/>
        </w:rPr>
        <w:t>5</w:t>
      </w:r>
      <w:r>
        <w:rPr>
          <w:rFonts w:hint="eastAsia" w:ascii="宋体" w:hAnsi="宋体"/>
          <w:b/>
          <w:color w:val="auto"/>
          <w:sz w:val="30"/>
          <w:szCs w:val="72"/>
          <w:highlight w:val="none"/>
          <w:lang w:eastAsia="zh-CN"/>
        </w:rPr>
        <w:t>年</w:t>
      </w:r>
      <w:r>
        <w:rPr>
          <w:rFonts w:hint="eastAsia" w:ascii="宋体" w:hAnsi="宋体"/>
          <w:b/>
          <w:color w:val="auto"/>
          <w:sz w:val="30"/>
          <w:szCs w:val="72"/>
          <w:highlight w:val="none"/>
          <w:lang w:val="en-US" w:eastAsia="zh-CN"/>
        </w:rPr>
        <w:t>12月</w:t>
      </w:r>
    </w:p>
    <w:p w14:paraId="449207A2">
      <w:pPr>
        <w:shd w:val="clear"/>
        <w:jc w:val="center"/>
        <w:rPr>
          <w:rFonts w:ascii="仿宋_GB2312" w:hAnsi="宋体" w:eastAsia="仿宋_GB2312"/>
          <w:b/>
          <w:color w:val="auto"/>
          <w:sz w:val="32"/>
          <w:szCs w:val="32"/>
          <w:highlight w:val="none"/>
        </w:rPr>
        <w:sectPr>
          <w:headerReference r:id="rId3" w:type="default"/>
          <w:pgSz w:w="11905" w:h="16838"/>
          <w:pgMar w:top="1134" w:right="1134" w:bottom="1134" w:left="1134" w:header="851" w:footer="992" w:gutter="0"/>
          <w:cols w:space="0" w:num="1"/>
          <w:titlePg/>
          <w:rtlGutter w:val="0"/>
          <w:docGrid w:type="lines" w:linePitch="312" w:charSpace="0"/>
        </w:sectPr>
      </w:pPr>
    </w:p>
    <w:p w14:paraId="01FABD49">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t xml:space="preserve"> </w:t>
      </w:r>
    </w:p>
    <w:p w14:paraId="259B098A">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2CB7E66">
      <w:pPr>
        <w:shd w:val="clear"/>
        <w:jc w:val="center"/>
        <w:rPr>
          <w:rFonts w:hint="eastAsia" w:ascii="宋体" w:hAnsi="宋体"/>
          <w:b/>
          <w:color w:val="auto"/>
          <w:sz w:val="44"/>
          <w:szCs w:val="44"/>
          <w:highlight w:val="none"/>
        </w:rPr>
      </w:pPr>
    </w:p>
    <w:p w14:paraId="5B7584CD">
      <w:pPr>
        <w:pStyle w:val="13"/>
        <w:shd w:val="clear"/>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2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2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1"/>
          <w:rFonts w:hint="eastAsia" w:ascii="宋体" w:hAnsi="宋体"/>
          <w:color w:val="auto"/>
          <w:sz w:val="32"/>
          <w:szCs w:val="32"/>
          <w:highlight w:val="none"/>
        </w:rPr>
        <w:t>第一章</w:t>
      </w:r>
      <w:r>
        <w:rPr>
          <w:rStyle w:val="21"/>
          <w:rFonts w:ascii="宋体" w:hAnsi="宋体"/>
          <w:color w:val="auto"/>
          <w:sz w:val="32"/>
          <w:szCs w:val="32"/>
          <w:highlight w:val="none"/>
        </w:rPr>
        <w:t xml:space="preserve">  </w:t>
      </w:r>
      <w:r>
        <w:rPr>
          <w:rStyle w:val="21"/>
          <w:rFonts w:hint="eastAsia" w:ascii="宋体" w:hAnsi="宋体"/>
          <w:color w:val="auto"/>
          <w:sz w:val="32"/>
          <w:szCs w:val="32"/>
          <w:highlight w:val="none"/>
        </w:rPr>
        <w:t>竞争性磋商</w:t>
      </w:r>
      <w:bookmarkStart w:id="0" w:name="_Hlt43300494"/>
      <w:r>
        <w:rPr>
          <w:rStyle w:val="21"/>
          <w:rFonts w:hint="eastAsia" w:ascii="宋体" w:hAnsi="宋体"/>
          <w:color w:val="auto"/>
          <w:sz w:val="32"/>
          <w:szCs w:val="32"/>
          <w:highlight w:val="none"/>
        </w:rPr>
        <w:t>公</w:t>
      </w:r>
      <w:bookmarkEnd w:id="0"/>
      <w:r>
        <w:rPr>
          <w:rStyle w:val="21"/>
          <w:rFonts w:hint="eastAsia" w:ascii="宋体" w:hAnsi="宋体"/>
          <w:color w:val="auto"/>
          <w:sz w:val="32"/>
          <w:szCs w:val="32"/>
          <w:highlight w:val="none"/>
        </w:rPr>
        <w:t>告</w:t>
      </w:r>
      <w:bookmarkStart w:id="1" w:name="_Hlt60757871"/>
      <w:bookmarkStart w:id="2" w:name="_Hlt60757870"/>
      <w:r>
        <w:rPr>
          <w:rFonts w:ascii="宋体" w:hAnsi="宋体"/>
          <w:color w:val="auto"/>
          <w:sz w:val="32"/>
          <w:szCs w:val="32"/>
          <w:highlight w:val="none"/>
        </w:rPr>
        <w:tab/>
      </w:r>
      <w:bookmarkEnd w:id="1"/>
      <w:bookmarkEnd w:id="2"/>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131FF1C">
      <w:pPr>
        <w:pStyle w:val="13"/>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2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2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1"/>
          <w:rFonts w:hint="eastAsia" w:ascii="宋体" w:hAnsi="宋体"/>
          <w:color w:val="auto"/>
          <w:sz w:val="32"/>
          <w:szCs w:val="32"/>
          <w:highlight w:val="none"/>
        </w:rPr>
        <w:t>第二章</w:t>
      </w:r>
      <w:r>
        <w:rPr>
          <w:rStyle w:val="21"/>
          <w:rFonts w:ascii="宋体" w:hAnsi="宋体"/>
          <w:color w:val="auto"/>
          <w:sz w:val="32"/>
          <w:szCs w:val="32"/>
          <w:highlight w:val="none"/>
        </w:rPr>
        <w:t xml:space="preserve">  </w:t>
      </w:r>
      <w:r>
        <w:rPr>
          <w:rStyle w:val="21"/>
          <w:rFonts w:hint="eastAsia" w:ascii="宋体" w:hAnsi="宋体"/>
          <w:color w:val="auto"/>
          <w:sz w:val="32"/>
          <w:szCs w:val="32"/>
          <w:highlight w:val="none"/>
        </w:rPr>
        <w:t>磋商供应商须知</w:t>
      </w:r>
      <w:bookmarkStart w:id="170" w:name="_GoBack"/>
      <w:bookmarkEnd w:id="170"/>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1BFF8CF">
      <w:pPr>
        <w:pStyle w:val="13"/>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2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2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1"/>
          <w:rFonts w:hint="eastAsia" w:ascii="宋体" w:hAnsi="宋体"/>
          <w:color w:val="auto"/>
          <w:sz w:val="32"/>
          <w:szCs w:val="32"/>
          <w:highlight w:val="none"/>
        </w:rPr>
        <w:t>第三章</w:t>
      </w:r>
      <w:r>
        <w:rPr>
          <w:rStyle w:val="21"/>
          <w:rFonts w:ascii="宋体" w:hAnsi="宋体"/>
          <w:color w:val="auto"/>
          <w:sz w:val="32"/>
          <w:szCs w:val="32"/>
          <w:highlight w:val="none"/>
        </w:rPr>
        <w:t xml:space="preserve">  </w:t>
      </w:r>
      <w:r>
        <w:rPr>
          <w:rStyle w:val="21"/>
          <w:rFonts w:hint="eastAsia" w:ascii="宋体" w:hAnsi="宋体"/>
          <w:color w:val="auto"/>
          <w:sz w:val="32"/>
          <w:szCs w:val="32"/>
          <w:highlight w:val="none"/>
        </w:rPr>
        <w:t>采购</w:t>
      </w:r>
      <w:bookmarkStart w:id="3" w:name="_Hlt496918403"/>
      <w:bookmarkStart w:id="4" w:name="_Hlt496918402"/>
      <w:r>
        <w:rPr>
          <w:rStyle w:val="21"/>
          <w:rFonts w:hint="eastAsia" w:ascii="宋体" w:hAnsi="宋体"/>
          <w:color w:val="auto"/>
          <w:sz w:val="32"/>
          <w:szCs w:val="32"/>
          <w:highlight w:val="none"/>
        </w:rPr>
        <w:t>需</w:t>
      </w:r>
      <w:bookmarkEnd w:id="3"/>
      <w:bookmarkEnd w:id="4"/>
      <w:bookmarkStart w:id="5" w:name="_Hlt476673918"/>
      <w:bookmarkStart w:id="6" w:name="_Hlt476673919"/>
      <w:r>
        <w:rPr>
          <w:rStyle w:val="21"/>
          <w:rFonts w:hint="eastAsia" w:ascii="宋体" w:hAnsi="宋体"/>
          <w:color w:val="auto"/>
          <w:sz w:val="32"/>
          <w:szCs w:val="32"/>
          <w:highlight w:val="none"/>
        </w:rPr>
        <w:t>求</w:t>
      </w:r>
      <w:bookmarkEnd w:id="5"/>
      <w:bookmarkEnd w:id="6"/>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17</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5A0D158">
      <w:pPr>
        <w:pStyle w:val="13"/>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2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2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1"/>
          <w:rFonts w:hint="eastAsia" w:ascii="宋体" w:hAnsi="宋体"/>
          <w:color w:val="auto"/>
          <w:sz w:val="32"/>
          <w:szCs w:val="32"/>
          <w:highlight w:val="none"/>
        </w:rPr>
        <w:t>第四章</w:t>
      </w:r>
      <w:r>
        <w:rPr>
          <w:rStyle w:val="21"/>
          <w:rFonts w:ascii="宋体" w:hAnsi="宋体"/>
          <w:color w:val="auto"/>
          <w:sz w:val="32"/>
          <w:szCs w:val="32"/>
          <w:highlight w:val="none"/>
        </w:rPr>
        <w:t xml:space="preserve">  </w:t>
      </w:r>
      <w:r>
        <w:rPr>
          <w:rStyle w:val="21"/>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26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3B0184D7">
      <w:pPr>
        <w:pStyle w:val="13"/>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2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2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1"/>
          <w:rFonts w:hint="eastAsia" w:ascii="宋体" w:hAnsi="宋体"/>
          <w:color w:val="auto"/>
          <w:kern w:val="0"/>
          <w:sz w:val="32"/>
          <w:szCs w:val="32"/>
          <w:highlight w:val="none"/>
        </w:rPr>
        <w:t>第五章</w:t>
      </w:r>
      <w:r>
        <w:rPr>
          <w:rStyle w:val="21"/>
          <w:rFonts w:ascii="宋体" w:hAnsi="宋体"/>
          <w:color w:val="auto"/>
          <w:kern w:val="0"/>
          <w:sz w:val="32"/>
          <w:szCs w:val="32"/>
          <w:highlight w:val="none"/>
        </w:rPr>
        <w:t xml:space="preserve">  </w:t>
      </w:r>
      <w:r>
        <w:rPr>
          <w:rStyle w:val="21"/>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35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2BBE10DB">
      <w:pPr>
        <w:pStyle w:val="13"/>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21"/>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21"/>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21"/>
          <w:rFonts w:hint="eastAsia" w:ascii="宋体" w:hAnsi="宋体"/>
          <w:color w:val="auto"/>
          <w:kern w:val="0"/>
          <w:sz w:val="32"/>
          <w:szCs w:val="32"/>
          <w:highlight w:val="none"/>
        </w:rPr>
        <w:t>第六章</w:t>
      </w:r>
      <w:r>
        <w:rPr>
          <w:rStyle w:val="21"/>
          <w:rFonts w:ascii="宋体" w:hAnsi="宋体"/>
          <w:color w:val="auto"/>
          <w:kern w:val="0"/>
          <w:sz w:val="32"/>
          <w:szCs w:val="32"/>
          <w:highlight w:val="none"/>
        </w:rPr>
        <w:t xml:space="preserve">  </w:t>
      </w:r>
      <w:r>
        <w:rPr>
          <w:rStyle w:val="21"/>
          <w:rFonts w:hint="eastAsia" w:ascii="宋体" w:hAnsi="宋体"/>
          <w:color w:val="auto"/>
          <w:kern w:val="0"/>
          <w:sz w:val="32"/>
          <w:szCs w:val="32"/>
          <w:highlight w:val="none"/>
        </w:rPr>
        <w:t>评标标</w:t>
      </w:r>
      <w:bookmarkStart w:id="7" w:name="_Hlt514850010"/>
      <w:bookmarkStart w:id="8" w:name="_Hlt514850011"/>
      <w:r>
        <w:rPr>
          <w:rStyle w:val="21"/>
          <w:rFonts w:hint="eastAsia" w:ascii="宋体" w:hAnsi="宋体"/>
          <w:color w:val="auto"/>
          <w:kern w:val="0"/>
          <w:sz w:val="32"/>
          <w:szCs w:val="32"/>
          <w:highlight w:val="none"/>
        </w:rPr>
        <w:t>准</w:t>
      </w:r>
      <w:bookmarkEnd w:id="7"/>
      <w:bookmarkEnd w:id="8"/>
      <w:r>
        <w:rPr>
          <w:rFonts w:ascii="宋体" w:hAnsi="宋体"/>
          <w:color w:val="auto"/>
          <w:sz w:val="32"/>
          <w:szCs w:val="32"/>
          <w:highlight w:val="none"/>
        </w:rPr>
        <w:tab/>
      </w:r>
      <w:bookmarkStart w:id="9" w:name="_Hlt507802346"/>
      <w:bookmarkStart w:id="10" w:name="_Hlt507802345"/>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44</w:t>
      </w:r>
      <w:r>
        <w:rPr>
          <w:rFonts w:ascii="宋体" w:hAnsi="宋体"/>
          <w:color w:val="auto"/>
          <w:sz w:val="32"/>
          <w:szCs w:val="32"/>
          <w:highlight w:val="none"/>
        </w:rPr>
        <w:fldChar w:fldCharType="end"/>
      </w:r>
      <w:bookmarkEnd w:id="9"/>
      <w:bookmarkEnd w:id="10"/>
      <w:r>
        <w:rPr>
          <w:rFonts w:ascii="宋体" w:hAnsi="宋体"/>
          <w:color w:val="auto"/>
          <w:sz w:val="32"/>
          <w:szCs w:val="32"/>
          <w:highlight w:val="none"/>
        </w:rPr>
        <w:fldChar w:fldCharType="end"/>
      </w:r>
    </w:p>
    <w:p w14:paraId="49172EFE">
      <w:pPr>
        <w:shd w:val="clea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4EE7C309">
      <w:pPr>
        <w:shd w:val="clear"/>
        <w:spacing w:line="400" w:lineRule="exact"/>
        <w:jc w:val="center"/>
        <w:rPr>
          <w:rFonts w:hint="eastAsia" w:ascii="仿宋_GB2312" w:hAnsi="宋体" w:eastAsia="仿宋_GB2312"/>
          <w:b/>
          <w:color w:val="auto"/>
          <w:sz w:val="32"/>
          <w:szCs w:val="32"/>
          <w:highlight w:val="none"/>
        </w:rPr>
      </w:pPr>
    </w:p>
    <w:p w14:paraId="1DC481B5">
      <w:pPr>
        <w:shd w:val="clear"/>
        <w:spacing w:line="400" w:lineRule="exact"/>
        <w:jc w:val="center"/>
        <w:rPr>
          <w:rFonts w:hint="eastAsia" w:ascii="仿宋_GB2312" w:hAnsi="宋体" w:eastAsia="仿宋_GB2312"/>
          <w:b/>
          <w:color w:val="auto"/>
          <w:sz w:val="32"/>
          <w:szCs w:val="32"/>
          <w:highlight w:val="none"/>
        </w:rPr>
      </w:pPr>
    </w:p>
    <w:p w14:paraId="1428CE7A">
      <w:pPr>
        <w:shd w:val="clear"/>
        <w:spacing w:line="400" w:lineRule="exact"/>
        <w:jc w:val="center"/>
        <w:rPr>
          <w:rFonts w:hint="eastAsia" w:ascii="仿宋_GB2312" w:hAnsi="宋体" w:eastAsia="仿宋_GB2312"/>
          <w:b/>
          <w:color w:val="auto"/>
          <w:sz w:val="32"/>
          <w:szCs w:val="32"/>
          <w:highlight w:val="none"/>
        </w:rPr>
      </w:pPr>
    </w:p>
    <w:p w14:paraId="445A8903">
      <w:pPr>
        <w:shd w:val="clear"/>
        <w:spacing w:line="400" w:lineRule="exact"/>
        <w:jc w:val="center"/>
        <w:rPr>
          <w:rFonts w:hint="eastAsia" w:ascii="仿宋_GB2312" w:hAnsi="宋体" w:eastAsia="仿宋_GB2312"/>
          <w:b/>
          <w:color w:val="auto"/>
          <w:sz w:val="32"/>
          <w:szCs w:val="32"/>
          <w:highlight w:val="none"/>
        </w:rPr>
      </w:pPr>
    </w:p>
    <w:p w14:paraId="50E62323">
      <w:pPr>
        <w:shd w:val="clear"/>
        <w:spacing w:line="400" w:lineRule="exact"/>
        <w:jc w:val="center"/>
        <w:rPr>
          <w:rFonts w:hint="eastAsia" w:ascii="仿宋_GB2312" w:hAnsi="宋体" w:eastAsia="仿宋_GB2312"/>
          <w:b/>
          <w:color w:val="auto"/>
          <w:sz w:val="32"/>
          <w:szCs w:val="32"/>
          <w:highlight w:val="none"/>
        </w:rPr>
      </w:pPr>
    </w:p>
    <w:p w14:paraId="3DFE0B50">
      <w:pPr>
        <w:shd w:val="clear"/>
        <w:spacing w:line="400" w:lineRule="exact"/>
        <w:jc w:val="center"/>
        <w:rPr>
          <w:rFonts w:hint="eastAsia" w:ascii="仿宋_GB2312" w:hAnsi="宋体" w:eastAsia="仿宋_GB2312"/>
          <w:b/>
          <w:color w:val="auto"/>
          <w:sz w:val="32"/>
          <w:szCs w:val="32"/>
          <w:highlight w:val="none"/>
        </w:rPr>
      </w:pPr>
    </w:p>
    <w:p w14:paraId="2F353E84">
      <w:pPr>
        <w:shd w:val="clear"/>
        <w:spacing w:line="400" w:lineRule="exact"/>
        <w:jc w:val="center"/>
        <w:rPr>
          <w:rFonts w:hint="eastAsia" w:ascii="仿宋_GB2312" w:hAnsi="宋体" w:eastAsia="仿宋_GB2312"/>
          <w:b/>
          <w:color w:val="auto"/>
          <w:sz w:val="32"/>
          <w:szCs w:val="32"/>
          <w:highlight w:val="none"/>
        </w:rPr>
      </w:pPr>
    </w:p>
    <w:p w14:paraId="0F8FBC77">
      <w:pPr>
        <w:shd w:val="clear"/>
        <w:spacing w:line="400" w:lineRule="exact"/>
        <w:jc w:val="center"/>
        <w:rPr>
          <w:rFonts w:hint="eastAsia" w:ascii="仿宋_GB2312" w:hAnsi="宋体" w:eastAsia="仿宋_GB2312"/>
          <w:b/>
          <w:color w:val="auto"/>
          <w:sz w:val="32"/>
          <w:szCs w:val="32"/>
          <w:highlight w:val="none"/>
        </w:rPr>
      </w:pPr>
    </w:p>
    <w:p w14:paraId="7766C88D">
      <w:pPr>
        <w:shd w:val="clear"/>
        <w:spacing w:line="400" w:lineRule="exact"/>
        <w:jc w:val="center"/>
        <w:rPr>
          <w:rFonts w:hint="eastAsia" w:ascii="仿宋_GB2312" w:hAnsi="宋体" w:eastAsia="仿宋_GB2312"/>
          <w:b/>
          <w:color w:val="auto"/>
          <w:sz w:val="32"/>
          <w:szCs w:val="32"/>
          <w:highlight w:val="none"/>
        </w:rPr>
      </w:pPr>
    </w:p>
    <w:p w14:paraId="5BE49C47">
      <w:pPr>
        <w:shd w:val="clear"/>
        <w:spacing w:line="400" w:lineRule="exact"/>
        <w:jc w:val="center"/>
        <w:rPr>
          <w:rFonts w:hint="eastAsia" w:ascii="仿宋_GB2312" w:hAnsi="宋体" w:eastAsia="仿宋_GB2312"/>
          <w:b/>
          <w:color w:val="auto"/>
          <w:sz w:val="32"/>
          <w:szCs w:val="32"/>
          <w:highlight w:val="none"/>
        </w:rPr>
      </w:pPr>
    </w:p>
    <w:p w14:paraId="6F0E64E7">
      <w:pPr>
        <w:shd w:val="clear"/>
        <w:spacing w:line="400" w:lineRule="exact"/>
        <w:jc w:val="center"/>
        <w:rPr>
          <w:rFonts w:hint="eastAsia" w:ascii="仿宋_GB2312" w:hAnsi="宋体" w:eastAsia="仿宋_GB2312"/>
          <w:b/>
          <w:color w:val="auto"/>
          <w:sz w:val="32"/>
          <w:szCs w:val="32"/>
          <w:highlight w:val="none"/>
        </w:rPr>
      </w:pPr>
    </w:p>
    <w:p w14:paraId="48CB352F">
      <w:pPr>
        <w:shd w:val="clear"/>
        <w:spacing w:line="400" w:lineRule="exact"/>
        <w:jc w:val="center"/>
        <w:rPr>
          <w:rFonts w:hint="eastAsia" w:ascii="黑体" w:hAnsi="宋体" w:eastAsia="黑体"/>
          <w:b/>
          <w:color w:val="auto"/>
          <w:sz w:val="32"/>
          <w:szCs w:val="32"/>
          <w:highlight w:val="none"/>
        </w:rPr>
      </w:pPr>
    </w:p>
    <w:p w14:paraId="32C40AB7">
      <w:pPr>
        <w:shd w:val="clear"/>
        <w:spacing w:line="400" w:lineRule="exact"/>
        <w:jc w:val="center"/>
        <w:rPr>
          <w:rFonts w:hint="eastAsia" w:ascii="黑体" w:hAnsi="宋体" w:eastAsia="黑体"/>
          <w:b/>
          <w:color w:val="auto"/>
          <w:sz w:val="32"/>
          <w:szCs w:val="32"/>
          <w:highlight w:val="none"/>
        </w:rPr>
      </w:pPr>
    </w:p>
    <w:p w14:paraId="4DA756B2">
      <w:pPr>
        <w:shd w:val="clear"/>
        <w:spacing w:line="400" w:lineRule="exact"/>
        <w:jc w:val="center"/>
        <w:rPr>
          <w:rFonts w:hint="eastAsia" w:ascii="黑体" w:hAnsi="宋体" w:eastAsia="黑体"/>
          <w:b/>
          <w:color w:val="auto"/>
          <w:sz w:val="32"/>
          <w:szCs w:val="32"/>
          <w:highlight w:val="none"/>
        </w:rPr>
      </w:pPr>
    </w:p>
    <w:p w14:paraId="47753075">
      <w:pPr>
        <w:shd w:val="clear"/>
        <w:spacing w:line="400" w:lineRule="exact"/>
        <w:jc w:val="center"/>
        <w:rPr>
          <w:rFonts w:hint="eastAsia" w:ascii="黑体" w:hAnsi="宋体" w:eastAsia="黑体"/>
          <w:b/>
          <w:color w:val="auto"/>
          <w:sz w:val="32"/>
          <w:szCs w:val="32"/>
          <w:highlight w:val="none"/>
        </w:rPr>
      </w:pPr>
    </w:p>
    <w:p w14:paraId="30233B33">
      <w:pPr>
        <w:shd w:val="clear"/>
        <w:spacing w:line="400" w:lineRule="exact"/>
        <w:jc w:val="center"/>
        <w:rPr>
          <w:rFonts w:hint="eastAsia" w:ascii="黑体" w:hAnsi="宋体" w:eastAsia="黑体"/>
          <w:b/>
          <w:color w:val="auto"/>
          <w:sz w:val="32"/>
          <w:szCs w:val="32"/>
          <w:highlight w:val="none"/>
        </w:rPr>
      </w:pPr>
    </w:p>
    <w:p w14:paraId="5B362A57">
      <w:pPr>
        <w:shd w:val="clear"/>
        <w:spacing w:line="400" w:lineRule="exact"/>
        <w:jc w:val="center"/>
        <w:rPr>
          <w:rFonts w:hint="eastAsia" w:ascii="黑体" w:hAnsi="宋体" w:eastAsia="黑体"/>
          <w:b/>
          <w:color w:val="auto"/>
          <w:sz w:val="32"/>
          <w:szCs w:val="32"/>
          <w:highlight w:val="none"/>
        </w:rPr>
      </w:pPr>
    </w:p>
    <w:p w14:paraId="08140AED">
      <w:pPr>
        <w:shd w:val="clear"/>
        <w:spacing w:line="400" w:lineRule="exact"/>
        <w:jc w:val="center"/>
        <w:rPr>
          <w:rFonts w:hint="eastAsia" w:ascii="黑体" w:hAnsi="宋体" w:eastAsia="黑体"/>
          <w:b/>
          <w:color w:val="auto"/>
          <w:sz w:val="32"/>
          <w:szCs w:val="32"/>
          <w:highlight w:val="none"/>
        </w:rPr>
      </w:pPr>
    </w:p>
    <w:p w14:paraId="7E1CC0A3">
      <w:pPr>
        <w:shd w:val="clear"/>
        <w:spacing w:line="400" w:lineRule="exact"/>
        <w:jc w:val="center"/>
        <w:rPr>
          <w:rFonts w:hint="eastAsia" w:ascii="黑体" w:hAnsi="宋体" w:eastAsia="黑体"/>
          <w:b/>
          <w:color w:val="auto"/>
          <w:sz w:val="32"/>
          <w:szCs w:val="32"/>
          <w:highlight w:val="none"/>
        </w:rPr>
      </w:pPr>
    </w:p>
    <w:p w14:paraId="3E96772D">
      <w:pPr>
        <w:shd w:val="clear"/>
        <w:spacing w:line="400" w:lineRule="exact"/>
        <w:jc w:val="center"/>
        <w:rPr>
          <w:rFonts w:hint="eastAsia" w:ascii="黑体" w:hAnsi="宋体" w:eastAsia="黑体"/>
          <w:b/>
          <w:color w:val="auto"/>
          <w:sz w:val="32"/>
          <w:szCs w:val="32"/>
          <w:highlight w:val="none"/>
        </w:rPr>
      </w:pPr>
    </w:p>
    <w:p w14:paraId="0B990E31">
      <w:pPr>
        <w:shd w:val="clear"/>
        <w:spacing w:line="400" w:lineRule="exact"/>
        <w:jc w:val="center"/>
        <w:rPr>
          <w:rFonts w:hint="eastAsia" w:ascii="宋体" w:hAnsi="宋体"/>
          <w:b/>
          <w:color w:val="auto"/>
          <w:sz w:val="32"/>
          <w:szCs w:val="32"/>
          <w:highlight w:val="none"/>
        </w:rPr>
      </w:pPr>
    </w:p>
    <w:p w14:paraId="5BE00AF9">
      <w:pPr>
        <w:shd w:val="clear"/>
        <w:spacing w:line="400" w:lineRule="exact"/>
        <w:jc w:val="center"/>
        <w:rPr>
          <w:rFonts w:hint="eastAsia" w:ascii="宋体" w:hAnsi="宋体"/>
          <w:b/>
          <w:color w:val="auto"/>
          <w:sz w:val="32"/>
          <w:szCs w:val="32"/>
          <w:highlight w:val="none"/>
        </w:rPr>
      </w:pPr>
    </w:p>
    <w:p w14:paraId="3CAE7507">
      <w:pPr>
        <w:shd w:val="clear"/>
        <w:spacing w:line="400" w:lineRule="exact"/>
        <w:jc w:val="center"/>
        <w:rPr>
          <w:rFonts w:hint="eastAsia" w:ascii="宋体" w:hAnsi="宋体"/>
          <w:b/>
          <w:color w:val="auto"/>
          <w:sz w:val="32"/>
          <w:szCs w:val="32"/>
          <w:highlight w:val="none"/>
        </w:rPr>
      </w:pPr>
    </w:p>
    <w:p w14:paraId="4AC8AE56">
      <w:pPr>
        <w:shd w:val="clear"/>
        <w:spacing w:line="400" w:lineRule="exact"/>
        <w:jc w:val="center"/>
        <w:rPr>
          <w:rFonts w:hint="eastAsia" w:ascii="宋体" w:hAnsi="宋体"/>
          <w:b/>
          <w:color w:val="auto"/>
          <w:sz w:val="32"/>
          <w:szCs w:val="32"/>
          <w:highlight w:val="none"/>
        </w:rPr>
      </w:pPr>
    </w:p>
    <w:p w14:paraId="2E82CD29">
      <w:pPr>
        <w:shd w:val="clear"/>
        <w:spacing w:line="400" w:lineRule="exact"/>
        <w:jc w:val="center"/>
        <w:rPr>
          <w:rFonts w:hint="eastAsia" w:ascii="宋体" w:hAnsi="宋体"/>
          <w:b/>
          <w:color w:val="auto"/>
          <w:sz w:val="32"/>
          <w:szCs w:val="32"/>
          <w:highlight w:val="none"/>
        </w:rPr>
      </w:pPr>
    </w:p>
    <w:p w14:paraId="3FBF8ECE">
      <w:pPr>
        <w:shd w:val="clear"/>
        <w:spacing w:line="400" w:lineRule="exact"/>
        <w:jc w:val="center"/>
        <w:rPr>
          <w:rFonts w:hint="eastAsia" w:ascii="宋体" w:hAnsi="宋体"/>
          <w:b/>
          <w:color w:val="auto"/>
          <w:sz w:val="32"/>
          <w:szCs w:val="32"/>
          <w:highlight w:val="none"/>
        </w:rPr>
      </w:pPr>
    </w:p>
    <w:p w14:paraId="19137B62">
      <w:pPr>
        <w:shd w:val="clear"/>
        <w:spacing w:line="400" w:lineRule="exact"/>
        <w:jc w:val="center"/>
        <w:rPr>
          <w:rFonts w:hint="eastAsia" w:ascii="宋体" w:hAnsi="宋体"/>
          <w:b/>
          <w:color w:val="auto"/>
          <w:sz w:val="32"/>
          <w:szCs w:val="32"/>
          <w:highlight w:val="none"/>
        </w:rPr>
      </w:pPr>
    </w:p>
    <w:p w14:paraId="4A9E762D">
      <w:pPr>
        <w:shd w:val="clear"/>
        <w:spacing w:line="400" w:lineRule="exact"/>
        <w:jc w:val="center"/>
        <w:rPr>
          <w:rFonts w:hint="eastAsia" w:ascii="宋体" w:hAnsi="宋体"/>
          <w:b/>
          <w:color w:val="auto"/>
          <w:sz w:val="32"/>
          <w:szCs w:val="32"/>
          <w:highlight w:val="none"/>
        </w:rPr>
      </w:pPr>
    </w:p>
    <w:p w14:paraId="47732288">
      <w:pPr>
        <w:shd w:val="clear"/>
        <w:spacing w:line="400" w:lineRule="exact"/>
        <w:jc w:val="center"/>
        <w:rPr>
          <w:rFonts w:hint="eastAsia" w:ascii="宋体" w:hAnsi="宋体"/>
          <w:b/>
          <w:color w:val="auto"/>
          <w:sz w:val="32"/>
          <w:szCs w:val="32"/>
          <w:highlight w:val="none"/>
        </w:rPr>
      </w:pPr>
    </w:p>
    <w:p w14:paraId="5EAADDE5">
      <w:pPr>
        <w:shd w:val="clear"/>
        <w:spacing w:line="400" w:lineRule="exact"/>
        <w:jc w:val="center"/>
        <w:rPr>
          <w:rFonts w:hint="eastAsia" w:ascii="宋体" w:hAnsi="宋体"/>
          <w:b/>
          <w:color w:val="auto"/>
          <w:sz w:val="32"/>
          <w:szCs w:val="32"/>
          <w:highlight w:val="none"/>
        </w:rPr>
      </w:pPr>
    </w:p>
    <w:p w14:paraId="1F7ADED4">
      <w:pPr>
        <w:shd w:val="clear"/>
        <w:spacing w:line="400" w:lineRule="exact"/>
        <w:jc w:val="center"/>
        <w:rPr>
          <w:rFonts w:hint="eastAsia" w:ascii="宋体" w:hAnsi="宋体"/>
          <w:b/>
          <w:color w:val="auto"/>
          <w:sz w:val="32"/>
          <w:szCs w:val="32"/>
          <w:highlight w:val="none"/>
        </w:rPr>
      </w:pPr>
    </w:p>
    <w:p w14:paraId="4BD9EE5D">
      <w:pPr>
        <w:shd w:val="clear"/>
        <w:spacing w:line="400" w:lineRule="exact"/>
        <w:jc w:val="center"/>
        <w:rPr>
          <w:rFonts w:hint="eastAsia" w:ascii="宋体" w:hAnsi="宋体"/>
          <w:b/>
          <w:color w:val="auto"/>
          <w:sz w:val="32"/>
          <w:szCs w:val="32"/>
          <w:highlight w:val="none"/>
        </w:rPr>
      </w:pPr>
    </w:p>
    <w:p w14:paraId="3ED73A99">
      <w:pPr>
        <w:shd w:val="clear"/>
        <w:spacing w:line="400" w:lineRule="exact"/>
        <w:rPr>
          <w:rFonts w:hint="eastAsia" w:ascii="宋体" w:hAnsi="宋体"/>
          <w:b/>
          <w:color w:val="auto"/>
          <w:sz w:val="32"/>
          <w:szCs w:val="32"/>
          <w:highlight w:val="none"/>
        </w:rPr>
      </w:pPr>
    </w:p>
    <w:p w14:paraId="03D46A55">
      <w:pPr>
        <w:pStyle w:val="15"/>
        <w:shd w:val="clear"/>
        <w:rPr>
          <w:rFonts w:hint="eastAsia"/>
          <w:color w:val="auto"/>
          <w:sz w:val="44"/>
          <w:szCs w:val="44"/>
          <w:highlight w:val="none"/>
        </w:rPr>
      </w:pPr>
      <w:bookmarkStart w:id="11" w:name="_Toc476258756"/>
      <w:bookmarkStart w:id="12" w:name="_Toc476258662"/>
      <w:r>
        <w:rPr>
          <w:rFonts w:hint="eastAsia"/>
          <w:color w:val="auto"/>
          <w:sz w:val="44"/>
          <w:szCs w:val="44"/>
          <w:highlight w:val="none"/>
        </w:rPr>
        <w:t>第一章  竞争性磋商公告</w:t>
      </w:r>
      <w:bookmarkEnd w:id="11"/>
      <w:bookmarkEnd w:id="12"/>
    </w:p>
    <w:p w14:paraId="2928472B">
      <w:pPr>
        <w:shd w:val="clea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p>
    <w:p w14:paraId="329D0487">
      <w:pPr>
        <w:shd w:val="clea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竞争性磋商公告</w:t>
      </w:r>
    </w:p>
    <w:p w14:paraId="56A1CC20">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项目概况</w:t>
      </w:r>
    </w:p>
    <w:p w14:paraId="2FD50D94">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lang w:eastAsia="zh-CN"/>
        </w:rPr>
        <w:t>广西制造工程职业技术学院40#、41#、42#学生宿舍楼项目</w:t>
      </w:r>
      <w:r>
        <w:rPr>
          <w:rFonts w:hint="eastAsia" w:ascii="宋体" w:hAnsi="宋体"/>
          <w:color w:val="auto"/>
          <w:szCs w:val="21"/>
          <w:highlight w:val="none"/>
          <w:u w:val="single"/>
          <w:lang w:val="en-US" w:eastAsia="zh-CN"/>
        </w:rPr>
        <w:t>全过程跟踪审计服务</w:t>
      </w:r>
      <w:r>
        <w:rPr>
          <w:rFonts w:hint="eastAsia" w:ascii="宋体" w:hAnsi="宋体"/>
          <w:color w:val="auto"/>
          <w:szCs w:val="21"/>
          <w:highlight w:val="none"/>
          <w:u w:val="single"/>
          <w:lang w:eastAsia="zh-CN"/>
        </w:rPr>
        <w:t>（</w:t>
      </w:r>
      <w:r>
        <w:rPr>
          <w:color w:val="auto"/>
          <w:spacing w:val="2"/>
          <w:highlight w:val="none"/>
          <w:u w:val="single"/>
        </w:rPr>
        <w:t>施工过程造价咨询</w:t>
      </w:r>
      <w:r>
        <w:rPr>
          <w:rFonts w:hint="eastAsia"/>
          <w:color w:val="auto"/>
          <w:spacing w:val="2"/>
          <w:highlight w:val="none"/>
          <w:u w:val="single"/>
          <w:lang w:eastAsia="zh-CN"/>
        </w:rPr>
        <w:t>、</w:t>
      </w:r>
      <w:r>
        <w:rPr>
          <w:color w:val="auto"/>
          <w:spacing w:val="4"/>
          <w:highlight w:val="none"/>
          <w:u w:val="single"/>
        </w:rPr>
        <w:t>工</w:t>
      </w:r>
      <w:r>
        <w:rPr>
          <w:color w:val="auto"/>
          <w:spacing w:val="2"/>
          <w:highlight w:val="none"/>
          <w:u w:val="single"/>
        </w:rPr>
        <w:t>程竣工结算审核</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采购</w:t>
      </w:r>
      <w:r>
        <w:rPr>
          <w:rFonts w:hint="eastAsia" w:ascii="宋体" w:hAnsi="宋体"/>
          <w:color w:val="auto"/>
          <w:szCs w:val="21"/>
          <w:highlight w:val="none"/>
        </w:rPr>
        <w:t>的潜在供应商应在</w:t>
      </w:r>
      <w:r>
        <w:rPr>
          <w:rFonts w:hint="eastAsia" w:ascii="宋体" w:hAnsi="宋体"/>
          <w:color w:val="auto"/>
          <w:szCs w:val="21"/>
          <w:highlight w:val="none"/>
          <w:u w:val="single"/>
          <w:lang w:val="en-US" w:eastAsia="zh-CN"/>
        </w:rPr>
        <w:t>广西南宁市白沙大道53号松宇时代13楼广西国力招标有限公司财务室</w:t>
      </w:r>
      <w:r>
        <w:rPr>
          <w:rFonts w:hint="eastAsia" w:ascii="宋体" w:hAnsi="宋体"/>
          <w:color w:val="auto"/>
          <w:szCs w:val="21"/>
          <w:highlight w:val="none"/>
        </w:rPr>
        <w:t>获取采购文件，并于</w:t>
      </w:r>
      <w:r>
        <w:rPr>
          <w:rFonts w:hint="eastAsia" w:ascii="宋体" w:hAnsi="宋体"/>
          <w:color w:val="auto"/>
          <w:szCs w:val="21"/>
          <w:highlight w:val="none"/>
          <w:u w:val="single"/>
          <w:lang w:eastAsia="zh-CN"/>
        </w:rPr>
        <w:t>2025年</w:t>
      </w:r>
      <w:r>
        <w:rPr>
          <w:rFonts w:hint="eastAsia" w:ascii="宋体" w:hAnsi="宋体"/>
          <w:bCs/>
          <w:color w:val="auto"/>
          <w:szCs w:val="21"/>
          <w:highlight w:val="none"/>
          <w:u w:val="single"/>
          <w:lang w:val="en-US" w:eastAsia="zh-CN"/>
        </w:rPr>
        <w:t>12</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19</w:t>
      </w:r>
      <w:r>
        <w:rPr>
          <w:rFonts w:hint="eastAsia" w:ascii="宋体" w:hAnsi="宋体"/>
          <w:bCs/>
          <w:color w:val="auto"/>
          <w:szCs w:val="21"/>
          <w:highlight w:val="none"/>
          <w:u w:val="single"/>
        </w:rPr>
        <w:t>日9点30分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14:paraId="7640967F">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
          <w:color w:val="auto"/>
          <w:highlight w:val="none"/>
        </w:rPr>
      </w:pPr>
      <w:bookmarkStart w:id="13" w:name="_Toc28359089"/>
      <w:bookmarkStart w:id="14" w:name="_Toc35393798"/>
      <w:bookmarkStart w:id="15" w:name="_Toc35393629"/>
      <w:bookmarkStart w:id="16" w:name="_Toc28359012"/>
      <w:r>
        <w:rPr>
          <w:rFonts w:hint="eastAsia" w:ascii="宋体" w:hAnsi="宋体"/>
          <w:b/>
          <w:color w:val="auto"/>
          <w:highlight w:val="none"/>
        </w:rPr>
        <w:t>一、项目基本情况</w:t>
      </w:r>
      <w:bookmarkEnd w:id="13"/>
      <w:bookmarkEnd w:id="14"/>
      <w:bookmarkEnd w:id="15"/>
      <w:bookmarkEnd w:id="16"/>
    </w:p>
    <w:p w14:paraId="3906958A">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1.项目编号：</w:t>
      </w:r>
      <w:r>
        <w:rPr>
          <w:rFonts w:hint="eastAsia" w:ascii="宋体" w:hAnsi="宋体"/>
          <w:color w:val="auto"/>
          <w:highlight w:val="none"/>
          <w:lang w:eastAsia="zh-CN"/>
        </w:rPr>
        <w:t>GXGL2025S-C647-Z</w:t>
      </w:r>
    </w:p>
    <w:p w14:paraId="1E25C885">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2.项目名称：</w:t>
      </w:r>
      <w:r>
        <w:rPr>
          <w:rFonts w:hint="eastAsia" w:ascii="宋体" w:hAnsi="宋体"/>
          <w:color w:val="auto"/>
          <w:highlight w:val="none"/>
          <w:lang w:eastAsia="zh-CN"/>
        </w:rPr>
        <w:t>广西制造工程职业技术学院40#、41#、42#学生宿舍楼项目全过程跟踪审计服务</w:t>
      </w:r>
      <w:r>
        <w:rPr>
          <w:rFonts w:hint="eastAsia" w:ascii="宋体" w:hAnsi="宋体"/>
          <w:color w:val="auto"/>
          <w:szCs w:val="21"/>
          <w:highlight w:val="none"/>
          <w:u w:val="none"/>
          <w:lang w:eastAsia="zh-CN"/>
        </w:rPr>
        <w:t>（</w:t>
      </w:r>
      <w:r>
        <w:rPr>
          <w:color w:val="auto"/>
          <w:spacing w:val="2"/>
          <w:highlight w:val="none"/>
          <w:u w:val="none"/>
        </w:rPr>
        <w:t>施工过程造价咨询</w:t>
      </w:r>
      <w:r>
        <w:rPr>
          <w:rFonts w:hint="eastAsia"/>
          <w:color w:val="auto"/>
          <w:spacing w:val="2"/>
          <w:highlight w:val="none"/>
          <w:u w:val="none"/>
          <w:lang w:eastAsia="zh-CN"/>
        </w:rPr>
        <w:t>、</w:t>
      </w:r>
      <w:r>
        <w:rPr>
          <w:color w:val="auto"/>
          <w:spacing w:val="4"/>
          <w:highlight w:val="none"/>
          <w:u w:val="none"/>
        </w:rPr>
        <w:t>工</w:t>
      </w:r>
      <w:r>
        <w:rPr>
          <w:color w:val="auto"/>
          <w:spacing w:val="2"/>
          <w:highlight w:val="none"/>
          <w:u w:val="none"/>
        </w:rPr>
        <w:t>程竣工结算审核</w:t>
      </w:r>
      <w:r>
        <w:rPr>
          <w:rFonts w:hint="eastAsia"/>
          <w:color w:val="auto"/>
          <w:spacing w:val="2"/>
          <w:highlight w:val="none"/>
          <w:u w:val="none"/>
          <w:lang w:eastAsia="zh-CN"/>
        </w:rPr>
        <w:t>）</w:t>
      </w:r>
      <w:r>
        <w:rPr>
          <w:rFonts w:hint="eastAsia" w:ascii="宋体" w:hAnsi="宋体"/>
          <w:color w:val="auto"/>
          <w:highlight w:val="none"/>
          <w:lang w:eastAsia="zh-CN"/>
        </w:rPr>
        <w:t>采购</w:t>
      </w:r>
    </w:p>
    <w:p w14:paraId="6045EFAE">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rPr>
      </w:pPr>
      <w:r>
        <w:rPr>
          <w:rFonts w:hint="eastAsia" w:ascii="宋体" w:hAnsi="宋体"/>
          <w:color w:val="auto"/>
          <w:highlight w:val="none"/>
        </w:rPr>
        <w:t>3.采购方式：竞争性磋商</w:t>
      </w:r>
    </w:p>
    <w:p w14:paraId="44FD630F">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default" w:ascii="宋体" w:hAnsi="宋体"/>
          <w:color w:val="auto"/>
          <w:highlight w:val="none"/>
          <w:lang w:val="en-US"/>
        </w:rPr>
      </w:pPr>
      <w:r>
        <w:rPr>
          <w:rFonts w:hint="eastAsia" w:ascii="宋体" w:hAnsi="宋体"/>
          <w:color w:val="auto"/>
          <w:highlight w:val="none"/>
        </w:rPr>
        <w:t>4.预算金额：</w:t>
      </w:r>
      <w:r>
        <w:rPr>
          <w:rFonts w:hint="eastAsia" w:ascii="宋体" w:hAnsi="宋体"/>
          <w:color w:val="auto"/>
          <w:highlight w:val="none"/>
          <w:lang w:val="en-US" w:eastAsia="zh-CN"/>
        </w:rPr>
        <w:t>53.87万元</w:t>
      </w:r>
    </w:p>
    <w:p w14:paraId="44DA4466">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ascii="宋体" w:hAnsi="宋体"/>
          <w:color w:val="auto"/>
          <w:highlight w:val="none"/>
        </w:rPr>
        <w:t>5.最高限价（如有）：</w:t>
      </w:r>
      <w:r>
        <w:rPr>
          <w:rFonts w:hint="eastAsia" w:ascii="宋体" w:hAnsi="宋体"/>
          <w:color w:val="auto"/>
          <w:highlight w:val="none"/>
          <w:lang w:val="en-US" w:eastAsia="zh-CN"/>
        </w:rPr>
        <w:t>53.87万元</w:t>
      </w:r>
    </w:p>
    <w:p w14:paraId="126AC5A4">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single"/>
        </w:rPr>
      </w:pPr>
      <w:r>
        <w:rPr>
          <w:rFonts w:hint="eastAsia" w:ascii="宋体" w:hAnsi="宋体"/>
          <w:color w:val="auto"/>
          <w:highlight w:val="none"/>
        </w:rPr>
        <w:t>6.采购需求：</w:t>
      </w:r>
      <w:r>
        <w:rPr>
          <w:rFonts w:hint="eastAsia" w:ascii="宋体" w:hAnsi="宋体"/>
          <w:color w:val="auto"/>
          <w:highlight w:val="none"/>
          <w:lang w:eastAsia="zh-CN"/>
        </w:rPr>
        <w:t>广西制造工程职业技术学院40#、41#、42#学生宿舍楼项目全过程跟踪审计服务</w:t>
      </w:r>
      <w:r>
        <w:rPr>
          <w:rFonts w:hint="eastAsia" w:ascii="宋体" w:hAnsi="宋体"/>
          <w:color w:val="auto"/>
          <w:szCs w:val="21"/>
          <w:highlight w:val="none"/>
          <w:u w:val="none"/>
          <w:lang w:eastAsia="zh-CN"/>
        </w:rPr>
        <w:t>（</w:t>
      </w:r>
      <w:r>
        <w:rPr>
          <w:color w:val="auto"/>
          <w:spacing w:val="2"/>
          <w:highlight w:val="none"/>
        </w:rPr>
        <w:t>施工过程造价咨询</w:t>
      </w:r>
      <w:r>
        <w:rPr>
          <w:rFonts w:hint="eastAsia"/>
          <w:color w:val="auto"/>
          <w:spacing w:val="2"/>
          <w:highlight w:val="none"/>
          <w:lang w:eastAsia="zh-CN"/>
        </w:rPr>
        <w:t>、</w:t>
      </w:r>
      <w:r>
        <w:rPr>
          <w:color w:val="auto"/>
          <w:spacing w:val="4"/>
          <w:highlight w:val="none"/>
        </w:rPr>
        <w:t>工</w:t>
      </w:r>
      <w:r>
        <w:rPr>
          <w:color w:val="auto"/>
          <w:spacing w:val="2"/>
          <w:highlight w:val="none"/>
        </w:rPr>
        <w:t>程竣工结算审核</w:t>
      </w:r>
      <w:r>
        <w:rPr>
          <w:rFonts w:hint="eastAsia"/>
          <w:color w:val="auto"/>
          <w:spacing w:val="2"/>
          <w:highlight w:val="none"/>
          <w:lang w:eastAsia="zh-CN"/>
        </w:rPr>
        <w:t>）</w:t>
      </w:r>
      <w:r>
        <w:rPr>
          <w:rFonts w:hint="eastAsia" w:ascii="宋体" w:hAnsi="宋体"/>
          <w:color w:val="auto"/>
          <w:highlight w:val="none"/>
          <w:lang w:eastAsia="zh-CN"/>
        </w:rPr>
        <w:t>采购</w:t>
      </w:r>
      <w:r>
        <w:rPr>
          <w:rFonts w:hint="eastAsia" w:ascii="宋体" w:hAnsi="宋体"/>
          <w:bCs/>
          <w:color w:val="auto"/>
          <w:kern w:val="0"/>
          <w:szCs w:val="21"/>
          <w:highlight w:val="none"/>
        </w:rPr>
        <w:t>1项。</w:t>
      </w:r>
      <w:r>
        <w:rPr>
          <w:rFonts w:hint="eastAsia" w:ascii="宋体" w:hAnsi="宋体" w:cs="Arial"/>
          <w:color w:val="auto"/>
          <w:szCs w:val="21"/>
          <w:highlight w:val="none"/>
        </w:rPr>
        <w:t>如需进一步了解详细内容，详见竞争性磋商文件。</w:t>
      </w:r>
    </w:p>
    <w:p w14:paraId="722D3F90">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single"/>
        </w:rPr>
      </w:pPr>
      <w:r>
        <w:rPr>
          <w:rFonts w:hint="eastAsia" w:ascii="宋体" w:hAnsi="宋体"/>
          <w:color w:val="auto"/>
          <w:highlight w:val="none"/>
        </w:rPr>
        <w:t>7.合同履行期限</w:t>
      </w:r>
      <w:r>
        <w:rPr>
          <w:rFonts w:hint="eastAsia" w:ascii="宋体" w:hAnsi="宋体" w:cs="Times New Roman"/>
          <w:color w:val="auto"/>
          <w:highlight w:val="none"/>
        </w:rPr>
        <w:t>：</w:t>
      </w:r>
      <w:r>
        <w:rPr>
          <w:rFonts w:hint="eastAsia" w:ascii="宋体" w:hAnsi="宋体" w:cs="Times New Roman"/>
          <w:color w:val="auto"/>
          <w:highlight w:val="none"/>
          <w:lang w:eastAsia="zh-CN"/>
        </w:rPr>
        <w:t>详见采购文件</w:t>
      </w:r>
      <w:r>
        <w:rPr>
          <w:rFonts w:hint="eastAsia" w:ascii="宋体" w:hAnsi="宋体" w:cs="Times New Roman"/>
          <w:color w:val="auto"/>
          <w:highlight w:val="none"/>
          <w:lang w:val="en-US" w:eastAsia="zh-CN"/>
        </w:rPr>
        <w:t>第三章采购需求。</w:t>
      </w:r>
      <w:r>
        <w:rPr>
          <w:rFonts w:hint="eastAsia" w:ascii="宋体" w:hAnsi="宋体"/>
          <w:color w:val="auto"/>
          <w:highlight w:val="none"/>
        </w:rPr>
        <w:t xml:space="preserve"> </w:t>
      </w:r>
    </w:p>
    <w:p w14:paraId="34E8ACF5">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8.本项目</w:t>
      </w:r>
      <w:r>
        <w:rPr>
          <w:rFonts w:hint="eastAsia" w:ascii="宋体" w:hAnsi="宋体" w:cs="Times New Roman"/>
          <w:color w:val="auto"/>
          <w:highlight w:val="none"/>
          <w:lang w:val="en-US" w:eastAsia="zh-CN"/>
        </w:rPr>
        <w:t>不</w:t>
      </w:r>
      <w:r>
        <w:rPr>
          <w:rFonts w:hint="eastAsia" w:ascii="宋体" w:hAnsi="宋体" w:cs="Times New Roman"/>
          <w:color w:val="auto"/>
          <w:highlight w:val="none"/>
          <w:lang w:eastAsia="zh-CN"/>
        </w:rPr>
        <w:t>接受联合体。</w:t>
      </w:r>
    </w:p>
    <w:p w14:paraId="6C5FCAB8">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
          <w:color w:val="auto"/>
          <w:highlight w:val="none"/>
        </w:rPr>
      </w:pPr>
      <w:bookmarkStart w:id="17" w:name="_Toc35393630"/>
      <w:bookmarkStart w:id="18" w:name="_Toc35393799"/>
      <w:bookmarkStart w:id="19" w:name="_Toc28359090"/>
      <w:bookmarkStart w:id="20" w:name="_Toc28359013"/>
      <w:r>
        <w:rPr>
          <w:rFonts w:hint="eastAsia" w:ascii="宋体" w:hAnsi="宋体"/>
          <w:b/>
          <w:color w:val="auto"/>
          <w:highlight w:val="none"/>
        </w:rPr>
        <w:t>二、申请人的资格要求：</w:t>
      </w:r>
      <w:bookmarkEnd w:id="17"/>
      <w:bookmarkEnd w:id="18"/>
      <w:bookmarkEnd w:id="19"/>
      <w:bookmarkEnd w:id="20"/>
    </w:p>
    <w:p w14:paraId="711245D1">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rPr>
      </w:pPr>
      <w:bookmarkStart w:id="21" w:name="_Toc35393631"/>
      <w:bookmarkStart w:id="22" w:name="_Toc35393800"/>
      <w:bookmarkStart w:id="23" w:name="_Toc28359014"/>
      <w:bookmarkStart w:id="24" w:name="_Toc28359091"/>
      <w:r>
        <w:rPr>
          <w:rFonts w:hint="eastAsia" w:ascii="宋体" w:hAnsi="宋体" w:eastAsia="宋体" w:cs="Times New Roman"/>
          <w:color w:val="auto"/>
          <w:highlight w:val="none"/>
        </w:rPr>
        <w:t>1.满足《中华人民共和国政府采购法》第二十二条规定；</w:t>
      </w:r>
    </w:p>
    <w:p w14:paraId="1D252921">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2.落实政府采购政策需满足的资格要求：无；</w:t>
      </w:r>
    </w:p>
    <w:p w14:paraId="2B012E31">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3.本项目的特定资格要求：供应商须符合《住房和城乡建设部办公厅取消工程造价咨询企业资质审批加强事中事后监管的通知》（建办标〔2021〕26号）文件要求，已经在全国工程造价咨询管理系统完善和更新相关信息（提供在全国工程造价咨询管理系统中“企业基本情况”网页截图），并在人员、设备、资金等方面具备相应的服务能力。</w:t>
      </w:r>
      <w:r>
        <w:rPr>
          <w:rFonts w:hint="eastAsia" w:ascii="宋体" w:hAnsi="宋体" w:eastAsia="宋体" w:cs="Times New Roman"/>
          <w:color w:val="auto"/>
          <w:highlight w:val="none"/>
          <w:lang w:val="en-US" w:eastAsia="zh-CN"/>
        </w:rPr>
        <w:t xml:space="preserve"> </w:t>
      </w:r>
    </w:p>
    <w:p w14:paraId="2B6B615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
          <w:color w:val="auto"/>
          <w:highlight w:val="none"/>
        </w:rPr>
      </w:pPr>
      <w:r>
        <w:rPr>
          <w:rFonts w:hint="eastAsia" w:ascii="宋体" w:hAnsi="宋体"/>
          <w:b/>
          <w:color w:val="auto"/>
          <w:highlight w:val="none"/>
        </w:rPr>
        <w:t>三、获取采购文件</w:t>
      </w:r>
      <w:bookmarkEnd w:id="21"/>
      <w:bookmarkEnd w:id="22"/>
      <w:bookmarkEnd w:id="23"/>
      <w:bookmarkEnd w:id="24"/>
    </w:p>
    <w:p w14:paraId="1A079989">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1.时间：</w:t>
      </w:r>
      <w:r>
        <w:rPr>
          <w:rFonts w:hint="eastAsia" w:ascii="宋体" w:hAnsi="宋体"/>
          <w:color w:val="auto"/>
          <w:highlight w:val="none"/>
          <w:u w:val="none"/>
          <w:lang w:eastAsia="zh-CN"/>
        </w:rPr>
        <w:t>2025年</w:t>
      </w:r>
      <w:r>
        <w:rPr>
          <w:rFonts w:hint="eastAsia" w:ascii="宋体" w:hAnsi="宋体"/>
          <w:color w:val="auto"/>
          <w:highlight w:val="none"/>
          <w:u w:val="none"/>
          <w:lang w:val="en-US" w:eastAsia="zh-CN"/>
        </w:rPr>
        <w:t>12</w:t>
      </w:r>
      <w:r>
        <w:rPr>
          <w:rFonts w:hint="eastAsia" w:ascii="宋体" w:hAnsi="宋体"/>
          <w:color w:val="auto"/>
          <w:highlight w:val="none"/>
          <w:u w:val="none"/>
        </w:rPr>
        <w:t>月</w:t>
      </w:r>
      <w:r>
        <w:rPr>
          <w:rFonts w:hint="eastAsia" w:ascii="宋体" w:hAnsi="宋体"/>
          <w:color w:val="auto"/>
          <w:highlight w:val="none"/>
          <w:u w:val="none"/>
          <w:lang w:val="en-US" w:eastAsia="zh-CN"/>
        </w:rPr>
        <w:t>8</w:t>
      </w:r>
      <w:r>
        <w:rPr>
          <w:rFonts w:hint="eastAsia" w:ascii="宋体" w:hAnsi="宋体"/>
          <w:color w:val="auto"/>
          <w:highlight w:val="none"/>
          <w:u w:val="none"/>
        </w:rPr>
        <w:t>日至</w:t>
      </w:r>
      <w:r>
        <w:rPr>
          <w:rFonts w:hint="eastAsia" w:ascii="宋体" w:hAnsi="宋体"/>
          <w:color w:val="auto"/>
          <w:highlight w:val="none"/>
          <w:u w:val="none"/>
          <w:lang w:eastAsia="zh-CN"/>
        </w:rPr>
        <w:t>2025年</w:t>
      </w:r>
      <w:r>
        <w:rPr>
          <w:rFonts w:hint="eastAsia" w:ascii="宋体" w:hAnsi="宋体"/>
          <w:color w:val="auto"/>
          <w:highlight w:val="none"/>
          <w:u w:val="none"/>
          <w:lang w:val="en-US" w:eastAsia="zh-CN"/>
        </w:rPr>
        <w:t>12</w:t>
      </w:r>
      <w:r>
        <w:rPr>
          <w:rFonts w:hint="eastAsia" w:ascii="宋体" w:hAnsi="宋体"/>
          <w:color w:val="auto"/>
          <w:highlight w:val="none"/>
          <w:u w:val="none"/>
        </w:rPr>
        <w:t>月</w:t>
      </w:r>
      <w:r>
        <w:rPr>
          <w:rFonts w:hint="eastAsia" w:ascii="宋体" w:hAnsi="宋体"/>
          <w:color w:val="auto"/>
          <w:highlight w:val="none"/>
          <w:u w:val="none"/>
          <w:lang w:val="en-US" w:eastAsia="zh-CN"/>
        </w:rPr>
        <w:t>15</w:t>
      </w:r>
      <w:r>
        <w:rPr>
          <w:rFonts w:hint="eastAsia" w:ascii="宋体" w:hAnsi="宋体"/>
          <w:color w:val="auto"/>
          <w:highlight w:val="none"/>
          <w:u w:val="none"/>
        </w:rPr>
        <w:t>日，每天上午8时30分至12时00分，下午15时00分至18时00分（北京时间，</w:t>
      </w:r>
      <w:r>
        <w:rPr>
          <w:rFonts w:ascii="宋体" w:hAnsi="宋体"/>
          <w:color w:val="auto"/>
          <w:highlight w:val="none"/>
          <w:u w:val="none"/>
        </w:rPr>
        <w:t>法定节假日</w:t>
      </w:r>
      <w:r>
        <w:rPr>
          <w:rFonts w:hint="eastAsia" w:ascii="宋体" w:hAnsi="宋体"/>
          <w:color w:val="auto"/>
          <w:highlight w:val="none"/>
          <w:u w:val="none"/>
        </w:rPr>
        <w:t>除外 ）</w:t>
      </w:r>
    </w:p>
    <w:p w14:paraId="3BB94B0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2.</w:t>
      </w:r>
      <w:r>
        <w:rPr>
          <w:rFonts w:hint="eastAsia" w:ascii="宋体" w:hAnsi="宋体" w:eastAsia="宋体" w:cs="Times New Roman"/>
          <w:color w:val="auto"/>
          <w:highlight w:val="none"/>
          <w:u w:val="none"/>
        </w:rPr>
        <w:t>地点：</w:t>
      </w:r>
      <w:r>
        <w:rPr>
          <w:rFonts w:hint="eastAsia" w:ascii="宋体" w:hAnsi="宋体" w:eastAsia="宋体" w:cs="Times New Roman"/>
          <w:color w:val="auto"/>
          <w:highlight w:val="none"/>
          <w:u w:val="none"/>
          <w:lang w:val="en-US" w:eastAsia="zh-CN"/>
        </w:rPr>
        <w:t>广西南宁市白沙大道53号松宇时代13楼广西国力招标有限公司财务室（电话：0771-4915100、4915200）</w:t>
      </w:r>
      <w:r>
        <w:rPr>
          <w:rFonts w:hint="eastAsia" w:ascii="宋体" w:hAnsi="宋体"/>
          <w:color w:val="auto"/>
          <w:highlight w:val="none"/>
          <w:u w:val="none"/>
        </w:rPr>
        <w:t>；</w:t>
      </w:r>
    </w:p>
    <w:p w14:paraId="1264380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3.方式：获取时间内，供应商代表携带授权委托书原件或复印件到获取地点购买。【邮购文件的，需于获取截止时间前将以上材料邮寄（传真或扫描发送）到广西国力招标有限公司，同时请注明拟投标采购项目名称、采购项目编号、投标人收件人、邮寄地址、邮编、电子邮箱、联系电话、传真号码等信息。】</w:t>
      </w:r>
    </w:p>
    <w:p w14:paraId="219E8561">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color w:val="auto"/>
          <w:highlight w:val="none"/>
          <w:u w:val="none"/>
        </w:rPr>
      </w:pPr>
      <w:r>
        <w:rPr>
          <w:rFonts w:hint="eastAsia" w:ascii="宋体" w:hAnsi="宋体"/>
          <w:color w:val="auto"/>
          <w:highlight w:val="none"/>
          <w:u w:val="none"/>
        </w:rPr>
        <w:t>4.售价：竞争性磋商文件工本费每本</w:t>
      </w:r>
      <w:r>
        <w:rPr>
          <w:rFonts w:hint="eastAsia" w:ascii="宋体" w:hAnsi="宋体"/>
          <w:color w:val="auto"/>
          <w:highlight w:val="none"/>
          <w:u w:val="none"/>
          <w:lang w:val="en-US" w:eastAsia="zh-CN"/>
        </w:rPr>
        <w:t>30</w:t>
      </w:r>
      <w:r>
        <w:rPr>
          <w:rFonts w:hint="eastAsia" w:ascii="宋体" w:hAnsi="宋体"/>
          <w:color w:val="auto"/>
          <w:highlight w:val="none"/>
          <w:u w:val="none"/>
        </w:rPr>
        <w:t>0元，售后不退。依据《国家税务总局关于增值税发票开具有关问题的公告》国家税务总局公告2017年第16号的规定，磋商供应商在索取发票时，请提供纳税人识别号或统一社会信用代码。</w:t>
      </w:r>
    </w:p>
    <w:p w14:paraId="21DBF588">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bookmarkStart w:id="25" w:name="_Toc28359092"/>
      <w:bookmarkStart w:id="26" w:name="_Toc35393632"/>
      <w:bookmarkStart w:id="27" w:name="_Toc35393801"/>
      <w:bookmarkStart w:id="28" w:name="_Toc28359015"/>
      <w:r>
        <w:rPr>
          <w:rFonts w:hint="eastAsia" w:ascii="宋体" w:hAnsi="宋体" w:eastAsia="宋体" w:cs="Times New Roman"/>
          <w:color w:val="auto"/>
          <w:highlight w:val="none"/>
          <w:u w:val="none"/>
        </w:rPr>
        <w:t>开户名称：广西国力招标有限公司</w:t>
      </w:r>
    </w:p>
    <w:p w14:paraId="7C0A9197">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开户银行：广西北部湾银行股份有限公司南宁市白沙支行（网银支付可选广西北部湾银行江南支行）</w:t>
      </w:r>
    </w:p>
    <w:p w14:paraId="0136B915">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银行账号：800109057400039</w:t>
      </w:r>
    </w:p>
    <w:p w14:paraId="50CAB3EA">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银行行号：313611002051</w:t>
      </w:r>
    </w:p>
    <w:p w14:paraId="582B510F">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
          <w:color w:val="auto"/>
          <w:highlight w:val="none"/>
          <w:u w:val="none"/>
        </w:rPr>
      </w:pPr>
      <w:r>
        <w:rPr>
          <w:rFonts w:hint="eastAsia" w:ascii="宋体" w:hAnsi="宋体"/>
          <w:b/>
          <w:color w:val="auto"/>
          <w:highlight w:val="none"/>
          <w:u w:val="none"/>
        </w:rPr>
        <w:t>四、响应文件提交</w:t>
      </w:r>
      <w:bookmarkEnd w:id="25"/>
      <w:bookmarkEnd w:id="26"/>
      <w:bookmarkEnd w:id="27"/>
      <w:bookmarkEnd w:id="28"/>
    </w:p>
    <w:p w14:paraId="4DE21CB1">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截止时间：</w:t>
      </w:r>
      <w:r>
        <w:rPr>
          <w:rFonts w:hint="eastAsia" w:ascii="宋体" w:hAnsi="宋体"/>
          <w:bCs/>
          <w:color w:val="auto"/>
          <w:highlight w:val="none"/>
          <w:u w:val="none"/>
          <w:lang w:eastAsia="zh-CN"/>
        </w:rPr>
        <w:t>2025年</w:t>
      </w:r>
      <w:r>
        <w:rPr>
          <w:rFonts w:hint="eastAsia" w:ascii="宋体" w:hAnsi="宋体"/>
          <w:bCs/>
          <w:color w:val="auto"/>
          <w:highlight w:val="none"/>
          <w:u w:val="none"/>
          <w:lang w:val="en-US" w:eastAsia="zh-CN"/>
        </w:rPr>
        <w:t>12</w:t>
      </w:r>
      <w:r>
        <w:rPr>
          <w:rFonts w:hint="eastAsia" w:ascii="宋体" w:hAnsi="宋体"/>
          <w:bCs/>
          <w:color w:val="auto"/>
          <w:highlight w:val="none"/>
          <w:u w:val="none"/>
        </w:rPr>
        <w:t>月</w:t>
      </w:r>
      <w:r>
        <w:rPr>
          <w:rFonts w:hint="eastAsia" w:ascii="宋体" w:hAnsi="宋体"/>
          <w:bCs/>
          <w:color w:val="auto"/>
          <w:highlight w:val="none"/>
          <w:u w:val="none"/>
          <w:lang w:val="en-US" w:eastAsia="zh-CN"/>
        </w:rPr>
        <w:t>19</w:t>
      </w:r>
      <w:r>
        <w:rPr>
          <w:rFonts w:hint="eastAsia" w:ascii="宋体" w:hAnsi="宋体"/>
          <w:bCs/>
          <w:color w:val="auto"/>
          <w:highlight w:val="none"/>
          <w:u w:val="none"/>
        </w:rPr>
        <w:t>日9点30分（北京时间）</w:t>
      </w:r>
    </w:p>
    <w:p w14:paraId="32E91F57">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地点：</w:t>
      </w:r>
      <w:r>
        <w:rPr>
          <w:rFonts w:hint="eastAsia" w:ascii="宋体" w:hAnsi="宋体"/>
          <w:b/>
          <w:color w:val="auto"/>
          <w:szCs w:val="21"/>
          <w:highlight w:val="none"/>
          <w:u w:val="none"/>
        </w:rPr>
        <w:t>广西国力招标有限公司开标厅（广西南宁市白沙大道53号松宇时代13楼）</w:t>
      </w:r>
      <w:r>
        <w:rPr>
          <w:rFonts w:hint="eastAsia" w:ascii="宋体" w:hAnsi="宋体"/>
          <w:color w:val="auto"/>
          <w:szCs w:val="21"/>
          <w:highlight w:val="none"/>
          <w:u w:val="none"/>
        </w:rPr>
        <w:t>。截止时间后为磋商小组与磋商供应商磋商时间，具体时间由本代理机构另行通知。地点：</w:t>
      </w:r>
      <w:r>
        <w:rPr>
          <w:rFonts w:hint="eastAsia" w:ascii="宋体" w:hAnsi="宋体"/>
          <w:color w:val="auto"/>
          <w:szCs w:val="21"/>
          <w:highlight w:val="none"/>
          <w:u w:val="none"/>
          <w:lang w:val="en-US" w:eastAsia="zh-CN"/>
        </w:rPr>
        <w:t>广西国力招标有限公司评标室（广西南宁市白沙大道53号松宇时代13楼）</w:t>
      </w:r>
      <w:r>
        <w:rPr>
          <w:rFonts w:hint="eastAsia" w:ascii="宋体" w:hAnsi="宋体"/>
          <w:color w:val="auto"/>
          <w:szCs w:val="21"/>
          <w:highlight w:val="none"/>
          <w:u w:val="none"/>
        </w:rPr>
        <w:t>，参加磋商的法定代表人或委托代理人必须持有效证件[法定代表人凭身份证或委托代理人凭法人授权委托书原件和身份证]依时到达指定地点等候当面磋商。</w:t>
      </w:r>
    </w:p>
    <w:p w14:paraId="62C63442">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
          <w:color w:val="auto"/>
          <w:highlight w:val="none"/>
          <w:u w:val="none"/>
        </w:rPr>
      </w:pPr>
      <w:bookmarkStart w:id="29" w:name="_Toc28359093"/>
      <w:bookmarkStart w:id="30" w:name="_Toc35393633"/>
      <w:bookmarkStart w:id="31" w:name="_Toc28359016"/>
      <w:bookmarkStart w:id="32" w:name="_Toc35393802"/>
      <w:r>
        <w:rPr>
          <w:rFonts w:hint="eastAsia" w:ascii="宋体" w:hAnsi="宋体"/>
          <w:b/>
          <w:color w:val="auto"/>
          <w:highlight w:val="none"/>
          <w:u w:val="none"/>
        </w:rPr>
        <w:t>五、开启</w:t>
      </w:r>
      <w:bookmarkEnd w:id="29"/>
      <w:bookmarkEnd w:id="30"/>
      <w:bookmarkEnd w:id="31"/>
      <w:bookmarkEnd w:id="32"/>
    </w:p>
    <w:p w14:paraId="0BDF31D6">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Cs/>
          <w:color w:val="auto"/>
          <w:highlight w:val="none"/>
          <w:u w:val="none"/>
        </w:rPr>
      </w:pPr>
      <w:r>
        <w:rPr>
          <w:rFonts w:hint="eastAsia" w:ascii="宋体" w:hAnsi="宋体"/>
          <w:color w:val="auto"/>
          <w:highlight w:val="none"/>
          <w:u w:val="none"/>
        </w:rPr>
        <w:t>时间：</w:t>
      </w:r>
      <w:r>
        <w:rPr>
          <w:rFonts w:hint="eastAsia" w:ascii="宋体" w:hAnsi="宋体"/>
          <w:bCs/>
          <w:color w:val="auto"/>
          <w:highlight w:val="none"/>
          <w:u w:val="none"/>
          <w:lang w:eastAsia="zh-CN"/>
        </w:rPr>
        <w:t>2025年</w:t>
      </w:r>
      <w:r>
        <w:rPr>
          <w:rFonts w:hint="eastAsia" w:ascii="宋体" w:hAnsi="宋体"/>
          <w:bCs/>
          <w:color w:val="auto"/>
          <w:highlight w:val="none"/>
          <w:u w:val="none"/>
          <w:lang w:val="en-US" w:eastAsia="zh-CN"/>
        </w:rPr>
        <w:t>12</w:t>
      </w:r>
      <w:r>
        <w:rPr>
          <w:rFonts w:hint="eastAsia" w:ascii="宋体" w:hAnsi="宋体"/>
          <w:bCs/>
          <w:color w:val="auto"/>
          <w:highlight w:val="none"/>
          <w:u w:val="none"/>
          <w:lang w:eastAsia="zh-CN"/>
        </w:rPr>
        <w:t>月</w:t>
      </w:r>
      <w:r>
        <w:rPr>
          <w:rFonts w:hint="eastAsia" w:ascii="宋体" w:hAnsi="宋体"/>
          <w:bCs/>
          <w:color w:val="auto"/>
          <w:highlight w:val="none"/>
          <w:u w:val="none"/>
          <w:lang w:val="en-US" w:eastAsia="zh-CN"/>
        </w:rPr>
        <w:t>19</w:t>
      </w:r>
      <w:r>
        <w:rPr>
          <w:rFonts w:hint="eastAsia" w:ascii="宋体" w:hAnsi="宋体"/>
          <w:bCs/>
          <w:color w:val="auto"/>
          <w:highlight w:val="none"/>
          <w:u w:val="none"/>
          <w:lang w:eastAsia="zh-CN"/>
        </w:rPr>
        <w:t>日9点30分</w:t>
      </w:r>
      <w:r>
        <w:rPr>
          <w:rFonts w:hint="eastAsia" w:ascii="宋体" w:hAnsi="宋体"/>
          <w:bCs/>
          <w:color w:val="auto"/>
          <w:highlight w:val="none"/>
          <w:u w:val="none"/>
        </w:rPr>
        <w:t>（北京时间）</w:t>
      </w:r>
    </w:p>
    <w:p w14:paraId="7A0FEBE7">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地点：广西国力招标有限公司评标室（广西南宁市白沙大道53号松宇时代13楼）。</w:t>
      </w:r>
    </w:p>
    <w:p w14:paraId="73529A1D">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
          <w:color w:val="auto"/>
          <w:highlight w:val="none"/>
          <w:u w:val="none"/>
        </w:rPr>
      </w:pPr>
      <w:bookmarkStart w:id="33" w:name="_Toc35393803"/>
      <w:bookmarkStart w:id="34" w:name="_Toc35393634"/>
      <w:bookmarkStart w:id="35" w:name="_Toc28359094"/>
      <w:bookmarkStart w:id="36" w:name="_Toc28359017"/>
      <w:r>
        <w:rPr>
          <w:rFonts w:hint="eastAsia" w:ascii="宋体" w:hAnsi="宋体"/>
          <w:b/>
          <w:color w:val="auto"/>
          <w:highlight w:val="none"/>
          <w:u w:val="none"/>
        </w:rPr>
        <w:t>六、公告期限</w:t>
      </w:r>
      <w:bookmarkEnd w:id="33"/>
      <w:bookmarkEnd w:id="34"/>
      <w:bookmarkEnd w:id="35"/>
      <w:bookmarkEnd w:id="36"/>
    </w:p>
    <w:p w14:paraId="0B3AFB84">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kern w:val="0"/>
          <w:highlight w:val="none"/>
          <w:u w:val="none"/>
        </w:rPr>
      </w:pPr>
      <w:r>
        <w:rPr>
          <w:rFonts w:hint="eastAsia" w:ascii="宋体" w:hAnsi="宋体"/>
          <w:color w:val="auto"/>
          <w:kern w:val="0"/>
          <w:highlight w:val="none"/>
          <w:u w:val="none"/>
        </w:rPr>
        <w:t>自本公告发布之日起</w:t>
      </w:r>
      <w:r>
        <w:rPr>
          <w:rFonts w:hint="eastAsia" w:ascii="宋体" w:hAnsi="宋体"/>
          <w:color w:val="auto"/>
          <w:kern w:val="0"/>
          <w:highlight w:val="none"/>
          <w:u w:val="none"/>
          <w:lang w:val="en-US" w:eastAsia="zh-CN"/>
        </w:rPr>
        <w:t>5</w:t>
      </w:r>
      <w:r>
        <w:rPr>
          <w:rFonts w:hint="eastAsia" w:ascii="宋体" w:hAnsi="宋体"/>
          <w:color w:val="auto"/>
          <w:kern w:val="0"/>
          <w:highlight w:val="none"/>
          <w:u w:val="none"/>
        </w:rPr>
        <w:t>个工作日。</w:t>
      </w:r>
    </w:p>
    <w:p w14:paraId="4C2480BC">
      <w:pPr>
        <w:keepNext w:val="0"/>
        <w:keepLines w:val="0"/>
        <w:pageBreakBefore w:val="0"/>
        <w:widowControl w:val="0"/>
        <w:numPr>
          <w:ilvl w:val="0"/>
          <w:numId w:val="0"/>
        </w:numPr>
        <w:shd w:val="clear"/>
        <w:kinsoku/>
        <w:overflowPunct/>
        <w:topLinePunct w:val="0"/>
        <w:autoSpaceDE/>
        <w:autoSpaceDN/>
        <w:bidi w:val="0"/>
        <w:adjustRightInd/>
        <w:snapToGrid/>
        <w:spacing w:line="360" w:lineRule="exact"/>
        <w:ind w:firstLine="420" w:firstLineChars="200"/>
        <w:textAlignment w:val="auto"/>
        <w:rPr>
          <w:rFonts w:hint="eastAsia" w:ascii="宋体" w:hAnsi="宋体"/>
          <w:b/>
          <w:color w:val="auto"/>
          <w:highlight w:val="none"/>
          <w:u w:val="none"/>
        </w:rPr>
      </w:pPr>
      <w:bookmarkStart w:id="37" w:name="_Toc35393804"/>
      <w:bookmarkStart w:id="38" w:name="_Toc35393635"/>
      <w:r>
        <w:rPr>
          <w:rFonts w:hint="eastAsia" w:ascii="宋体" w:hAnsi="宋体" w:eastAsia="宋体" w:cs="Times New Roman"/>
          <w:b/>
          <w:color w:val="auto"/>
          <w:kern w:val="2"/>
          <w:sz w:val="21"/>
          <w:szCs w:val="24"/>
          <w:highlight w:val="none"/>
          <w:lang w:val="en-US" w:eastAsia="zh-CN" w:bidi="ar-SA"/>
        </w:rPr>
        <w:t>七、</w:t>
      </w:r>
      <w:r>
        <w:rPr>
          <w:rFonts w:hint="eastAsia" w:ascii="宋体" w:hAnsi="宋体"/>
          <w:b/>
          <w:color w:val="auto"/>
          <w:highlight w:val="none"/>
          <w:u w:val="none"/>
        </w:rPr>
        <w:t>其他补充事宜</w:t>
      </w:r>
      <w:bookmarkEnd w:id="37"/>
      <w:bookmarkEnd w:id="38"/>
    </w:p>
    <w:p w14:paraId="6C4046D3">
      <w:pPr>
        <w:keepNext w:val="0"/>
        <w:keepLines w:val="0"/>
        <w:pageBreakBefore w:val="0"/>
        <w:widowControl w:val="0"/>
        <w:numPr>
          <w:ilvl w:val="0"/>
          <w:numId w:val="0"/>
        </w:numPr>
        <w:shd w:val="clear"/>
        <w:kinsoku/>
        <w:overflowPunct/>
        <w:topLinePunct w:val="0"/>
        <w:autoSpaceDE/>
        <w:autoSpaceDN/>
        <w:bidi w:val="0"/>
        <w:adjustRightInd/>
        <w:snapToGrid/>
        <w:spacing w:line="360" w:lineRule="exact"/>
        <w:ind w:firstLine="420" w:firstLineChars="200"/>
        <w:textAlignment w:val="auto"/>
        <w:rPr>
          <w:rFonts w:hint="eastAsia" w:ascii="宋体" w:hAnsi="宋体"/>
          <w:color w:val="auto"/>
          <w:highlight w:val="none"/>
          <w:u w:val="none"/>
        </w:rPr>
      </w:pPr>
      <w:r>
        <w:rPr>
          <w:rFonts w:hint="eastAsia" w:ascii="宋体" w:hAnsi="宋体"/>
          <w:b/>
          <w:color w:val="auto"/>
          <w:highlight w:val="none"/>
          <w:u w:val="none"/>
        </w:rPr>
        <w:t>1.</w:t>
      </w:r>
      <w:r>
        <w:rPr>
          <w:rFonts w:hint="eastAsia" w:ascii="宋体" w:hAnsi="宋体"/>
          <w:b/>
          <w:color w:val="auto"/>
          <w:szCs w:val="21"/>
          <w:highlight w:val="none"/>
          <w:u w:val="none"/>
        </w:rPr>
        <w:t>磋商</w:t>
      </w:r>
      <w:r>
        <w:rPr>
          <w:rFonts w:hint="eastAsia" w:ascii="宋体" w:hAnsi="宋体"/>
          <w:b/>
          <w:bCs/>
          <w:color w:val="auto"/>
          <w:highlight w:val="none"/>
          <w:u w:val="none"/>
        </w:rPr>
        <w:t>保证金</w:t>
      </w:r>
      <w:r>
        <w:rPr>
          <w:rFonts w:hint="eastAsia" w:ascii="宋体" w:hAnsi="宋体"/>
          <w:b/>
          <w:color w:val="auto"/>
          <w:highlight w:val="none"/>
          <w:u w:val="none"/>
        </w:rPr>
        <w:t>（人民币）：</w:t>
      </w:r>
      <w:r>
        <w:rPr>
          <w:rFonts w:hint="eastAsia" w:ascii="宋体" w:hAnsi="宋体"/>
          <w:bCs/>
          <w:color w:val="auto"/>
          <w:highlight w:val="none"/>
          <w:u w:val="none"/>
          <w:lang w:val="en-US" w:eastAsia="zh-CN"/>
        </w:rPr>
        <w:t>5000</w:t>
      </w:r>
      <w:r>
        <w:rPr>
          <w:rFonts w:hint="eastAsia" w:ascii="宋体" w:hAnsi="宋体"/>
          <w:bCs/>
          <w:color w:val="auto"/>
          <w:highlight w:val="none"/>
          <w:u w:val="none"/>
        </w:rPr>
        <w:t>元</w:t>
      </w:r>
      <w:r>
        <w:rPr>
          <w:rFonts w:hint="eastAsia" w:ascii="宋体" w:hAnsi="宋体"/>
          <w:color w:val="auto"/>
          <w:highlight w:val="none"/>
          <w:u w:val="none"/>
        </w:rPr>
        <w:t>。</w:t>
      </w:r>
      <w:r>
        <w:rPr>
          <w:rFonts w:hint="eastAsia" w:ascii="宋体" w:hAnsi="宋体"/>
          <w:b/>
          <w:color w:val="auto"/>
          <w:highlight w:val="none"/>
          <w:u w:val="none"/>
        </w:rPr>
        <w:t>（必须足额交纳）</w:t>
      </w:r>
    </w:p>
    <w:p w14:paraId="18FE2F22">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u w:val="none"/>
        </w:rPr>
      </w:pPr>
      <w:r>
        <w:rPr>
          <w:rFonts w:hint="eastAsia" w:ascii="宋体" w:hAnsi="宋体"/>
          <w:color w:val="auto"/>
          <w:szCs w:val="21"/>
          <w:highlight w:val="none"/>
          <w:u w:val="none"/>
        </w:rPr>
        <w:t>磋商保证金的交纳方式：银行转账、支票、汇票、本票或者银行、保险机构出具的保函，禁止采用现金形式。采用银行转账方式的，在响应文件提交截止时间前交至采购代理机构指定账户并且到账；采用支票、汇票、本票或者保函等方式的，在响应文件提交截止时间前，磋商供应商应当递交单独密封的支票、汇票、本票或者保函原件。</w:t>
      </w:r>
      <w:r>
        <w:rPr>
          <w:rFonts w:hint="eastAsia" w:ascii="宋体" w:hAnsi="宋体"/>
          <w:b/>
          <w:bCs/>
          <w:color w:val="auto"/>
          <w:szCs w:val="21"/>
          <w:highlight w:val="none"/>
          <w:u w:val="none"/>
        </w:rPr>
        <w:t>否则视为无效磋商保证金。</w:t>
      </w:r>
      <w:r>
        <w:rPr>
          <w:rFonts w:hint="eastAsia" w:ascii="宋体" w:hAnsi="宋体"/>
          <w:b/>
          <w:color w:val="auto"/>
          <w:szCs w:val="21"/>
          <w:highlight w:val="none"/>
          <w:u w:val="none"/>
        </w:rPr>
        <w:t>（财务室电话：</w:t>
      </w:r>
      <w:r>
        <w:rPr>
          <w:rFonts w:hint="eastAsia" w:ascii="宋体" w:hAnsi="宋体"/>
          <w:b/>
          <w:color w:val="auto"/>
          <w:szCs w:val="21"/>
          <w:highlight w:val="none"/>
          <w:u w:val="none"/>
          <w:lang w:val="en-US" w:eastAsia="zh-CN"/>
        </w:rPr>
        <w:t>0771-4915100、4915200</w:t>
      </w:r>
      <w:r>
        <w:rPr>
          <w:rFonts w:hint="eastAsia" w:ascii="宋体" w:hAnsi="宋体"/>
          <w:b/>
          <w:color w:val="auto"/>
          <w:szCs w:val="21"/>
          <w:highlight w:val="none"/>
          <w:u w:val="none"/>
        </w:rPr>
        <w:t>）</w:t>
      </w:r>
    </w:p>
    <w:p w14:paraId="0577CD37">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开户名称：广西国力招标有限公司</w:t>
      </w:r>
    </w:p>
    <w:p w14:paraId="3D2DAF0F">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开户银行：广西北部湾银行金凯支行（网银支付可选广西北部湾银行江南支行）</w:t>
      </w:r>
    </w:p>
    <w:p w14:paraId="24620CB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银行账号：800109057455558</w:t>
      </w:r>
    </w:p>
    <w:p w14:paraId="36B5596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银行行号：313611002043</w:t>
      </w:r>
    </w:p>
    <w:p w14:paraId="5605C50C">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b/>
          <w:color w:val="auto"/>
          <w:highlight w:val="none"/>
          <w:u w:val="none"/>
        </w:rPr>
      </w:pPr>
      <w:r>
        <w:rPr>
          <w:rFonts w:hint="eastAsia" w:ascii="宋体" w:hAnsi="宋体"/>
          <w:b/>
          <w:color w:val="auto"/>
          <w:highlight w:val="none"/>
          <w:u w:val="none"/>
          <w:lang w:val="en-US" w:eastAsia="zh-CN"/>
        </w:rPr>
        <w:t>2</w:t>
      </w:r>
      <w:r>
        <w:rPr>
          <w:rFonts w:hint="eastAsia" w:ascii="宋体" w:hAnsi="宋体"/>
          <w:b/>
          <w:color w:val="auto"/>
          <w:highlight w:val="none"/>
          <w:u w:val="none"/>
        </w:rPr>
        <w:t>.网上公告媒体查询</w:t>
      </w:r>
    </w:p>
    <w:p w14:paraId="0E91A8E2">
      <w:pPr>
        <w:keepNext w:val="0"/>
        <w:keepLines w:val="0"/>
        <w:pageBreakBefore w:val="0"/>
        <w:widowControl w:val="0"/>
        <w:shd w:val="clear"/>
        <w:kinsoku/>
        <w:wordWrap w:val="0"/>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szCs w:val="21"/>
          <w:highlight w:val="none"/>
          <w:u w:val="none"/>
        </w:rPr>
        <w:t>中国采购与招标网（www.chinabidding.com.cn）</w:t>
      </w:r>
      <w:r>
        <w:rPr>
          <w:rFonts w:hint="eastAsia" w:ascii="宋体" w:hAnsi="宋体"/>
          <w:color w:val="auto"/>
          <w:szCs w:val="21"/>
          <w:highlight w:val="none"/>
          <w:u w:val="none"/>
          <w:lang w:eastAsia="zh-CN"/>
        </w:rPr>
        <w:t>、</w:t>
      </w:r>
      <w:r>
        <w:rPr>
          <w:rFonts w:hint="eastAsia" w:ascii="宋体" w:hAnsi="宋体"/>
          <w:color w:val="auto"/>
          <w:szCs w:val="21"/>
          <w:highlight w:val="none"/>
          <w:u w:val="none"/>
          <w:lang w:val="en-US" w:eastAsia="zh-CN"/>
        </w:rPr>
        <w:t>广西国力招标有限公司网站（http://www.gxguoli.cn）</w:t>
      </w:r>
      <w:r>
        <w:rPr>
          <w:rFonts w:hint="eastAsia" w:ascii="宋体" w:hAnsi="宋体"/>
          <w:color w:val="auto"/>
          <w:highlight w:val="none"/>
          <w:u w:val="none"/>
        </w:rPr>
        <w:t>。</w:t>
      </w:r>
    </w:p>
    <w:p w14:paraId="0EAC0EF6">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b/>
          <w:color w:val="auto"/>
          <w:highlight w:val="none"/>
          <w:u w:val="none"/>
        </w:rPr>
      </w:pPr>
      <w:bookmarkStart w:id="39" w:name="_Toc35393636"/>
      <w:bookmarkStart w:id="40" w:name="_Toc28359095"/>
      <w:bookmarkStart w:id="41" w:name="_Toc28359018"/>
      <w:bookmarkStart w:id="42" w:name="_Toc35393805"/>
      <w:r>
        <w:rPr>
          <w:rFonts w:hint="eastAsia" w:ascii="宋体" w:hAnsi="宋体"/>
          <w:b/>
          <w:color w:val="auto"/>
          <w:highlight w:val="none"/>
          <w:u w:val="none"/>
        </w:rPr>
        <w:t>八、凡对本次采购提出询问，请按</w:t>
      </w:r>
      <w:r>
        <w:rPr>
          <w:rFonts w:ascii="宋体" w:hAnsi="宋体"/>
          <w:b/>
          <w:color w:val="auto"/>
          <w:highlight w:val="none"/>
          <w:u w:val="none"/>
        </w:rPr>
        <w:t>以下方式</w:t>
      </w:r>
      <w:r>
        <w:rPr>
          <w:rFonts w:hint="eastAsia" w:ascii="宋体" w:hAnsi="宋体"/>
          <w:b/>
          <w:color w:val="auto"/>
          <w:highlight w:val="none"/>
          <w:u w:val="none"/>
        </w:rPr>
        <w:t>联系。</w:t>
      </w:r>
      <w:bookmarkEnd w:id="39"/>
      <w:bookmarkEnd w:id="40"/>
      <w:bookmarkEnd w:id="41"/>
      <w:bookmarkEnd w:id="42"/>
    </w:p>
    <w:p w14:paraId="60BA185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1.采购人信息</w:t>
      </w:r>
    </w:p>
    <w:p w14:paraId="6E5BCA24">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bookmarkStart w:id="43" w:name="_Toc28359086"/>
      <w:bookmarkStart w:id="44" w:name="_Toc28359009"/>
      <w:r>
        <w:rPr>
          <w:rFonts w:hint="eastAsia" w:ascii="宋体" w:hAnsi="宋体"/>
          <w:color w:val="auto"/>
          <w:highlight w:val="none"/>
          <w:u w:val="none"/>
        </w:rPr>
        <w:t>名称：</w:t>
      </w:r>
      <w:r>
        <w:rPr>
          <w:rFonts w:hint="eastAsia" w:ascii="宋体" w:hAnsi="宋体"/>
          <w:color w:val="auto"/>
          <w:highlight w:val="none"/>
          <w:u w:val="none"/>
          <w:lang w:eastAsia="zh-CN"/>
        </w:rPr>
        <w:t>广西制造工程职业技术学院</w:t>
      </w:r>
    </w:p>
    <w:p w14:paraId="14949ECB">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olor w:val="auto"/>
          <w:highlight w:val="none"/>
          <w:u w:val="none"/>
          <w:lang w:eastAsia="zh-CN"/>
        </w:rPr>
      </w:pPr>
      <w:r>
        <w:rPr>
          <w:rFonts w:hint="eastAsia" w:ascii="宋体" w:hAnsi="宋体"/>
          <w:color w:val="auto"/>
          <w:highlight w:val="none"/>
          <w:u w:val="none"/>
        </w:rPr>
        <w:t>地址：</w:t>
      </w:r>
      <w:r>
        <w:rPr>
          <w:rFonts w:hint="eastAsia" w:ascii="宋体" w:hAnsi="宋体"/>
          <w:color w:val="auto"/>
          <w:highlight w:val="none"/>
          <w:u w:val="none"/>
          <w:lang w:eastAsia="zh-CN"/>
        </w:rPr>
        <w:t>南宁市武鸣区宝源路29号</w:t>
      </w:r>
    </w:p>
    <w:p w14:paraId="27D57912">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default" w:ascii="宋体" w:hAnsi="宋体" w:eastAsia="宋体"/>
          <w:color w:val="auto"/>
          <w:highlight w:val="none"/>
          <w:u w:val="none"/>
          <w:lang w:val="en-US" w:eastAsia="zh-CN"/>
        </w:rPr>
      </w:pPr>
      <w:r>
        <w:rPr>
          <w:rFonts w:hint="eastAsia" w:ascii="宋体" w:hAnsi="宋体"/>
          <w:color w:val="auto"/>
          <w:highlight w:val="none"/>
          <w:u w:val="none"/>
        </w:rPr>
        <w:t>项目联系人：</w:t>
      </w:r>
      <w:r>
        <w:rPr>
          <w:rFonts w:hint="eastAsia" w:ascii="宋体" w:hAnsi="宋体"/>
          <w:color w:val="auto"/>
          <w:highlight w:val="none"/>
          <w:u w:val="none"/>
          <w:lang w:val="en-US" w:eastAsia="zh-CN"/>
        </w:rPr>
        <w:t xml:space="preserve">义嫔       </w:t>
      </w:r>
    </w:p>
    <w:p w14:paraId="4884A547">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default" w:ascii="宋体" w:hAnsi="宋体" w:eastAsia="宋体"/>
          <w:color w:val="auto"/>
          <w:highlight w:val="none"/>
          <w:u w:val="none"/>
          <w:lang w:val="en-US" w:eastAsia="zh-CN"/>
        </w:rPr>
      </w:pPr>
      <w:r>
        <w:rPr>
          <w:rFonts w:hint="eastAsia" w:ascii="宋体" w:hAnsi="宋体"/>
          <w:color w:val="auto"/>
          <w:highlight w:val="none"/>
          <w:u w:val="none"/>
        </w:rPr>
        <w:t>联系电话：0771-</w:t>
      </w:r>
      <w:r>
        <w:rPr>
          <w:rFonts w:hint="eastAsia"/>
          <w:color w:val="auto"/>
          <w:highlight w:val="none"/>
        </w:rPr>
        <w:t>2206200</w:t>
      </w:r>
    </w:p>
    <w:bookmarkEnd w:id="43"/>
    <w:bookmarkEnd w:id="44"/>
    <w:p w14:paraId="148B93EE">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2.采购代理机构信息</w:t>
      </w:r>
    </w:p>
    <w:p w14:paraId="36BF7ED9">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名称：广西国力招标有限公司</w:t>
      </w:r>
    </w:p>
    <w:p w14:paraId="3E9FE1FF">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地址：南宁市白沙大道53号松宇时代13楼</w:t>
      </w:r>
    </w:p>
    <w:p w14:paraId="2B35159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bookmarkStart w:id="45" w:name="_Toc28359087"/>
      <w:bookmarkStart w:id="46" w:name="_Toc28359010"/>
      <w:r>
        <w:rPr>
          <w:rFonts w:hint="eastAsia" w:ascii="宋体" w:hAnsi="宋体" w:eastAsia="宋体" w:cs="Times New Roman"/>
          <w:color w:val="auto"/>
          <w:highlight w:val="none"/>
          <w:u w:val="none"/>
          <w:lang w:val="en-US" w:eastAsia="zh-CN"/>
        </w:rPr>
        <w:t>领取</w:t>
      </w:r>
      <w:r>
        <w:rPr>
          <w:rFonts w:hint="eastAsia" w:ascii="宋体" w:hAnsi="宋体" w:eastAsia="宋体" w:cs="Times New Roman"/>
          <w:color w:val="auto"/>
          <w:highlight w:val="none"/>
          <w:u w:val="none"/>
        </w:rPr>
        <w:t>竞争性磋商文件联系人：郑欢     联系电话：0771-4915100     传真：0771-4915100</w:t>
      </w:r>
    </w:p>
    <w:p w14:paraId="213531A5">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eastAsia="宋体" w:cs="Times New Roman"/>
          <w:color w:val="auto"/>
          <w:highlight w:val="none"/>
          <w:u w:val="none"/>
        </w:rPr>
      </w:pPr>
      <w:r>
        <w:rPr>
          <w:rFonts w:hint="eastAsia" w:ascii="宋体" w:hAnsi="宋体" w:eastAsia="宋体" w:cs="Times New Roman"/>
          <w:color w:val="auto"/>
          <w:highlight w:val="none"/>
          <w:u w:val="none"/>
        </w:rPr>
        <w:t>3.项目联系方式</w:t>
      </w:r>
      <w:bookmarkEnd w:id="45"/>
      <w:bookmarkEnd w:id="46"/>
    </w:p>
    <w:p w14:paraId="6A59B133">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default" w:ascii="宋体" w:hAnsi="宋体" w:eastAsia="宋体" w:cs="Times New Roman"/>
          <w:color w:val="auto"/>
          <w:highlight w:val="none"/>
          <w:u w:val="none"/>
          <w:lang w:val="en-US"/>
        </w:rPr>
      </w:pPr>
      <w:r>
        <w:rPr>
          <w:rFonts w:hint="eastAsia" w:ascii="宋体" w:hAnsi="宋体" w:eastAsia="宋体" w:cs="Times New Roman"/>
          <w:color w:val="auto"/>
          <w:highlight w:val="none"/>
          <w:u w:val="none"/>
        </w:rPr>
        <w:t>项目联系人：</w:t>
      </w:r>
      <w:r>
        <w:rPr>
          <w:rFonts w:hint="eastAsia" w:ascii="宋体" w:hAnsi="宋体" w:cs="Times New Roman"/>
          <w:color w:val="auto"/>
          <w:highlight w:val="none"/>
          <w:u w:val="none"/>
          <w:lang w:val="en-US" w:eastAsia="zh-CN"/>
        </w:rPr>
        <w:t>何云飞、李宁芳</w:t>
      </w:r>
    </w:p>
    <w:p w14:paraId="6C1B3CF8">
      <w:pPr>
        <w:keepNext w:val="0"/>
        <w:keepLines w:val="0"/>
        <w:pageBreakBefore w:val="0"/>
        <w:widowControl w:val="0"/>
        <w:shd w:val="clear"/>
        <w:kinsoku/>
        <w:overflowPunct/>
        <w:topLinePunct w:val="0"/>
        <w:autoSpaceDE/>
        <w:autoSpaceDN/>
        <w:bidi w:val="0"/>
        <w:adjustRightInd/>
        <w:snapToGrid/>
        <w:spacing w:line="360" w:lineRule="exact"/>
        <w:ind w:firstLine="420" w:firstLineChars="200"/>
        <w:textAlignment w:val="auto"/>
        <w:rPr>
          <w:rFonts w:hint="eastAsia" w:ascii="宋体" w:hAnsi="宋体"/>
          <w:color w:val="auto"/>
          <w:highlight w:val="none"/>
          <w:u w:val="none"/>
        </w:rPr>
      </w:pPr>
      <w:r>
        <w:rPr>
          <w:rFonts w:hint="eastAsia" w:ascii="宋体" w:hAnsi="宋体" w:eastAsia="宋体" w:cs="Times New Roman"/>
          <w:color w:val="auto"/>
          <w:highlight w:val="none"/>
          <w:u w:val="none"/>
        </w:rPr>
        <w:t>电话：</w:t>
      </w:r>
      <w:r>
        <w:rPr>
          <w:rFonts w:hint="eastAsia" w:ascii="宋体" w:hAnsi="宋体" w:eastAsia="宋体" w:cs="Times New Roman"/>
          <w:color w:val="auto"/>
          <w:highlight w:val="none"/>
          <w:u w:val="none"/>
          <w:lang w:eastAsia="zh-CN"/>
        </w:rPr>
        <w:t>0771-4915558</w:t>
      </w:r>
    </w:p>
    <w:p w14:paraId="01236AC4">
      <w:pPr>
        <w:keepNext w:val="0"/>
        <w:keepLines w:val="0"/>
        <w:pageBreakBefore w:val="0"/>
        <w:widowControl w:val="0"/>
        <w:shd w:val="clear"/>
        <w:kinsoku/>
        <w:overflowPunct/>
        <w:topLinePunct w:val="0"/>
        <w:autoSpaceDE/>
        <w:autoSpaceDN/>
        <w:bidi w:val="0"/>
        <w:adjustRightInd/>
        <w:snapToGrid/>
        <w:spacing w:line="360" w:lineRule="exact"/>
        <w:ind w:firstLine="420" w:firstLineChars="200"/>
        <w:jc w:val="right"/>
        <w:textAlignment w:val="auto"/>
        <w:rPr>
          <w:rFonts w:hint="eastAsia" w:ascii="宋体" w:hAnsi="宋体"/>
          <w:color w:val="auto"/>
          <w:highlight w:val="none"/>
          <w:u w:val="none"/>
          <w:lang w:eastAsia="zh-CN"/>
        </w:rPr>
      </w:pPr>
      <w:r>
        <w:rPr>
          <w:rFonts w:hint="eastAsia" w:ascii="宋体" w:hAnsi="宋体"/>
          <w:color w:val="auto"/>
          <w:highlight w:val="none"/>
          <w:u w:val="none"/>
          <w:lang w:eastAsia="zh-CN"/>
        </w:rPr>
        <w:t>广西国力招标有限公司</w:t>
      </w:r>
    </w:p>
    <w:p w14:paraId="16E46FD2">
      <w:pPr>
        <w:keepNext w:val="0"/>
        <w:keepLines w:val="0"/>
        <w:pageBreakBefore w:val="0"/>
        <w:widowControl w:val="0"/>
        <w:shd w:val="clear"/>
        <w:kinsoku/>
        <w:overflowPunct/>
        <w:topLinePunct w:val="0"/>
        <w:autoSpaceDE/>
        <w:autoSpaceDN/>
        <w:bidi w:val="0"/>
        <w:adjustRightInd/>
        <w:snapToGrid/>
        <w:spacing w:line="360" w:lineRule="exact"/>
        <w:ind w:firstLine="420" w:firstLineChars="200"/>
        <w:jc w:val="right"/>
        <w:textAlignment w:val="auto"/>
        <w:rPr>
          <w:rFonts w:ascii="宋体" w:hAnsi="宋体"/>
          <w:color w:val="auto"/>
          <w:highlight w:val="none"/>
          <w:u w:val="single"/>
        </w:rPr>
      </w:pPr>
      <w:r>
        <w:rPr>
          <w:rFonts w:hint="eastAsia" w:ascii="宋体" w:hAnsi="宋体" w:cs="Arial"/>
          <w:color w:val="auto"/>
          <w:highlight w:val="none"/>
          <w:lang w:eastAsia="zh-CN"/>
        </w:rPr>
        <w:t>2025年</w:t>
      </w:r>
      <w:r>
        <w:rPr>
          <w:rFonts w:hint="eastAsia" w:ascii="宋体" w:hAnsi="宋体" w:cs="Arial"/>
          <w:color w:val="auto"/>
          <w:highlight w:val="none"/>
          <w:lang w:val="en-US" w:eastAsia="zh-CN"/>
        </w:rPr>
        <w:t>12</w:t>
      </w:r>
      <w:r>
        <w:rPr>
          <w:rFonts w:hint="eastAsia" w:ascii="宋体" w:hAnsi="宋体" w:cs="Arial"/>
          <w:color w:val="auto"/>
          <w:highlight w:val="none"/>
        </w:rPr>
        <w:t>月</w:t>
      </w:r>
      <w:r>
        <w:rPr>
          <w:rFonts w:hint="eastAsia" w:ascii="宋体" w:hAnsi="宋体" w:cs="Arial"/>
          <w:color w:val="auto"/>
          <w:highlight w:val="none"/>
          <w:lang w:val="en-US" w:eastAsia="zh-CN"/>
        </w:rPr>
        <w:t>8</w:t>
      </w:r>
      <w:r>
        <w:rPr>
          <w:rFonts w:hint="eastAsia" w:ascii="宋体" w:hAnsi="宋体" w:cs="Arial"/>
          <w:color w:val="auto"/>
          <w:highlight w:val="none"/>
        </w:rPr>
        <w:t>日</w:t>
      </w:r>
    </w:p>
    <w:p w14:paraId="511E45EF">
      <w:pPr>
        <w:keepNext w:val="0"/>
        <w:keepLines w:val="0"/>
        <w:pageBreakBefore w:val="0"/>
        <w:widowControl w:val="0"/>
        <w:shd w:val="clear"/>
        <w:kinsoku/>
        <w:overflowPunct/>
        <w:topLinePunct w:val="0"/>
        <w:autoSpaceDE/>
        <w:autoSpaceDN/>
        <w:bidi w:val="0"/>
        <w:adjustRightInd/>
        <w:snapToGrid/>
        <w:spacing w:line="36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p>
    <w:p w14:paraId="044314B6">
      <w:pPr>
        <w:shd w:val="clear"/>
        <w:spacing w:line="400" w:lineRule="exact"/>
        <w:jc w:val="center"/>
        <w:rPr>
          <w:rFonts w:hint="eastAsia" w:ascii="宋体" w:hAnsi="宋体"/>
          <w:b/>
          <w:color w:val="auto"/>
          <w:sz w:val="32"/>
          <w:szCs w:val="32"/>
          <w:highlight w:val="none"/>
        </w:rPr>
      </w:pPr>
    </w:p>
    <w:p w14:paraId="403EF498">
      <w:pPr>
        <w:shd w:val="clear"/>
        <w:spacing w:line="400" w:lineRule="exact"/>
        <w:jc w:val="center"/>
        <w:rPr>
          <w:rFonts w:hint="eastAsia" w:ascii="宋体" w:hAnsi="宋体"/>
          <w:b/>
          <w:color w:val="auto"/>
          <w:sz w:val="32"/>
          <w:szCs w:val="32"/>
          <w:highlight w:val="none"/>
        </w:rPr>
      </w:pPr>
    </w:p>
    <w:p w14:paraId="0E629763">
      <w:pPr>
        <w:shd w:val="clear"/>
        <w:spacing w:line="400" w:lineRule="exact"/>
        <w:jc w:val="center"/>
        <w:rPr>
          <w:rFonts w:hint="eastAsia" w:ascii="宋体" w:hAnsi="宋体"/>
          <w:b/>
          <w:color w:val="auto"/>
          <w:sz w:val="32"/>
          <w:szCs w:val="32"/>
          <w:highlight w:val="none"/>
        </w:rPr>
      </w:pPr>
    </w:p>
    <w:p w14:paraId="1B2E34D9">
      <w:pPr>
        <w:shd w:val="clear"/>
        <w:spacing w:line="400" w:lineRule="exact"/>
        <w:jc w:val="center"/>
        <w:rPr>
          <w:rFonts w:hint="eastAsia" w:ascii="宋体" w:hAnsi="宋体"/>
          <w:b/>
          <w:color w:val="auto"/>
          <w:sz w:val="32"/>
          <w:szCs w:val="32"/>
          <w:highlight w:val="none"/>
        </w:rPr>
      </w:pPr>
    </w:p>
    <w:p w14:paraId="3EC44BC6">
      <w:pPr>
        <w:shd w:val="clear"/>
        <w:spacing w:line="400" w:lineRule="exact"/>
        <w:jc w:val="center"/>
        <w:rPr>
          <w:rFonts w:hint="eastAsia" w:ascii="宋体" w:hAnsi="宋体"/>
          <w:b/>
          <w:color w:val="auto"/>
          <w:sz w:val="32"/>
          <w:szCs w:val="32"/>
          <w:highlight w:val="none"/>
        </w:rPr>
      </w:pPr>
    </w:p>
    <w:p w14:paraId="1980DEBB">
      <w:pPr>
        <w:shd w:val="clear"/>
        <w:spacing w:line="400" w:lineRule="exact"/>
        <w:jc w:val="center"/>
        <w:rPr>
          <w:rFonts w:hint="eastAsia" w:ascii="宋体" w:hAnsi="宋体"/>
          <w:b/>
          <w:color w:val="auto"/>
          <w:sz w:val="32"/>
          <w:szCs w:val="32"/>
          <w:highlight w:val="none"/>
        </w:rPr>
      </w:pPr>
    </w:p>
    <w:p w14:paraId="174FE772">
      <w:pPr>
        <w:shd w:val="clear"/>
        <w:spacing w:line="400" w:lineRule="exact"/>
        <w:jc w:val="center"/>
        <w:rPr>
          <w:rFonts w:hint="eastAsia" w:ascii="宋体" w:hAnsi="宋体"/>
          <w:b/>
          <w:color w:val="auto"/>
          <w:sz w:val="32"/>
          <w:szCs w:val="32"/>
          <w:highlight w:val="none"/>
        </w:rPr>
      </w:pPr>
    </w:p>
    <w:p w14:paraId="7FF9FD04">
      <w:pPr>
        <w:shd w:val="clear"/>
        <w:spacing w:line="400" w:lineRule="exact"/>
        <w:jc w:val="center"/>
        <w:rPr>
          <w:rFonts w:hint="eastAsia" w:ascii="宋体" w:hAnsi="宋体"/>
          <w:b/>
          <w:color w:val="auto"/>
          <w:sz w:val="32"/>
          <w:szCs w:val="32"/>
          <w:highlight w:val="none"/>
        </w:rPr>
      </w:pPr>
    </w:p>
    <w:p w14:paraId="1F45F989">
      <w:pPr>
        <w:shd w:val="clear"/>
        <w:spacing w:line="400" w:lineRule="exact"/>
        <w:jc w:val="center"/>
        <w:rPr>
          <w:rFonts w:hint="eastAsia" w:ascii="宋体" w:hAnsi="宋体"/>
          <w:b/>
          <w:color w:val="auto"/>
          <w:sz w:val="32"/>
          <w:szCs w:val="32"/>
          <w:highlight w:val="none"/>
        </w:rPr>
      </w:pPr>
    </w:p>
    <w:p w14:paraId="2CC66082">
      <w:pPr>
        <w:shd w:val="clear"/>
        <w:spacing w:line="400" w:lineRule="exact"/>
        <w:jc w:val="center"/>
        <w:rPr>
          <w:rFonts w:hint="eastAsia" w:ascii="宋体" w:hAnsi="宋体"/>
          <w:b/>
          <w:color w:val="auto"/>
          <w:sz w:val="32"/>
          <w:szCs w:val="32"/>
          <w:highlight w:val="none"/>
        </w:rPr>
      </w:pPr>
    </w:p>
    <w:p w14:paraId="2A6D7F78">
      <w:pPr>
        <w:shd w:val="clear"/>
        <w:spacing w:line="400" w:lineRule="exact"/>
        <w:jc w:val="center"/>
        <w:rPr>
          <w:rFonts w:hint="eastAsia" w:ascii="宋体" w:hAnsi="宋体"/>
          <w:b/>
          <w:color w:val="auto"/>
          <w:sz w:val="32"/>
          <w:szCs w:val="32"/>
          <w:highlight w:val="none"/>
        </w:rPr>
      </w:pPr>
    </w:p>
    <w:p w14:paraId="54A22AB9">
      <w:pPr>
        <w:shd w:val="clear"/>
        <w:spacing w:line="400" w:lineRule="exact"/>
        <w:jc w:val="center"/>
        <w:rPr>
          <w:rFonts w:hint="eastAsia" w:ascii="宋体" w:hAnsi="宋体"/>
          <w:b/>
          <w:color w:val="auto"/>
          <w:sz w:val="32"/>
          <w:szCs w:val="32"/>
          <w:highlight w:val="none"/>
        </w:rPr>
      </w:pPr>
    </w:p>
    <w:p w14:paraId="56CDA315">
      <w:pPr>
        <w:shd w:val="clear"/>
        <w:spacing w:line="400" w:lineRule="exact"/>
        <w:rPr>
          <w:rFonts w:hint="eastAsia" w:ascii="宋体" w:hAnsi="宋体"/>
          <w:b/>
          <w:color w:val="auto"/>
          <w:sz w:val="32"/>
          <w:szCs w:val="32"/>
          <w:highlight w:val="none"/>
        </w:rPr>
      </w:pPr>
    </w:p>
    <w:p w14:paraId="5364186E">
      <w:pPr>
        <w:pStyle w:val="15"/>
        <w:shd w:val="clear"/>
        <w:rPr>
          <w:rFonts w:hint="eastAsia"/>
          <w:color w:val="auto"/>
          <w:sz w:val="44"/>
          <w:szCs w:val="44"/>
          <w:highlight w:val="none"/>
        </w:rPr>
      </w:pPr>
      <w:bookmarkStart w:id="47" w:name="_Toc476258663"/>
      <w:bookmarkStart w:id="48" w:name="_Toc476258757"/>
      <w:r>
        <w:rPr>
          <w:rFonts w:hint="eastAsia"/>
          <w:color w:val="auto"/>
          <w:sz w:val="44"/>
          <w:szCs w:val="44"/>
          <w:highlight w:val="none"/>
        </w:rPr>
        <w:t>第二章  磋商供应商须知</w:t>
      </w:r>
      <w:bookmarkEnd w:id="47"/>
      <w:bookmarkEnd w:id="48"/>
    </w:p>
    <w:p w14:paraId="7749E866">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磋商供应商须知前附表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14:paraId="16D7DC05">
        <w:trPr>
          <w:trHeight w:val="907" w:hRule="atLeast"/>
          <w:jc w:val="center"/>
        </w:trPr>
        <w:tc>
          <w:tcPr>
            <w:tcW w:w="726" w:type="dxa"/>
            <w:noWrap w:val="0"/>
            <w:vAlign w:val="center"/>
          </w:tcPr>
          <w:p w14:paraId="0BAA8876">
            <w:pPr>
              <w:pStyle w:val="24"/>
              <w:keepNext w:val="0"/>
              <w:keepLines w:val="0"/>
              <w:pageBreakBefore w:val="0"/>
              <w:widowControl w:val="0"/>
              <w:shd w:val="clear"/>
              <w:kinsoku/>
              <w:wordWrap/>
              <w:overflowPunct/>
              <w:topLinePunct w:val="0"/>
              <w:bidi w:val="0"/>
              <w:adjustRightInd/>
              <w:snapToGrid/>
              <w:spacing w:line="380" w:lineRule="exact"/>
              <w:ind w:left="0"/>
              <w:jc w:val="center"/>
              <w:textAlignment w:val="auto"/>
              <w:rPr>
                <w:rFonts w:hint="eastAsia"/>
                <w:color w:val="auto"/>
                <w:highlight w:val="none"/>
              </w:rPr>
            </w:pPr>
            <w:r>
              <w:rPr>
                <w:rFonts w:hint="eastAsia"/>
                <w:color w:val="auto"/>
                <w:highlight w:val="none"/>
              </w:rPr>
              <w:t>序号</w:t>
            </w:r>
          </w:p>
        </w:tc>
        <w:tc>
          <w:tcPr>
            <w:tcW w:w="945" w:type="dxa"/>
            <w:noWrap w:val="0"/>
            <w:vAlign w:val="center"/>
          </w:tcPr>
          <w:p w14:paraId="649914D1">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条款号</w:t>
            </w:r>
          </w:p>
        </w:tc>
        <w:tc>
          <w:tcPr>
            <w:tcW w:w="8106" w:type="dxa"/>
            <w:noWrap w:val="0"/>
            <w:vAlign w:val="center"/>
          </w:tcPr>
          <w:p w14:paraId="36878F81">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内    容</w:t>
            </w:r>
          </w:p>
        </w:tc>
      </w:tr>
      <w:tr w14:paraId="76AE38DD">
        <w:trPr>
          <w:trHeight w:val="907" w:hRule="atLeast"/>
          <w:jc w:val="center"/>
        </w:trPr>
        <w:tc>
          <w:tcPr>
            <w:tcW w:w="726" w:type="dxa"/>
            <w:noWrap w:val="0"/>
            <w:vAlign w:val="center"/>
          </w:tcPr>
          <w:p w14:paraId="77D7C2CD">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w:t>
            </w:r>
          </w:p>
        </w:tc>
        <w:tc>
          <w:tcPr>
            <w:tcW w:w="945" w:type="dxa"/>
            <w:noWrap w:val="0"/>
            <w:vAlign w:val="center"/>
          </w:tcPr>
          <w:p w14:paraId="115DABDB">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2.1</w:t>
            </w:r>
          </w:p>
        </w:tc>
        <w:tc>
          <w:tcPr>
            <w:tcW w:w="8106" w:type="dxa"/>
            <w:noWrap w:val="0"/>
            <w:vAlign w:val="center"/>
          </w:tcPr>
          <w:p w14:paraId="61BF051F">
            <w:pPr>
              <w:keepNext w:val="0"/>
              <w:keepLines w:val="0"/>
              <w:pageBreakBefore w:val="0"/>
              <w:widowControl w:val="0"/>
              <w:shd w:val="clear"/>
              <w:kinsoku/>
              <w:wordWrap/>
              <w:overflowPunct/>
              <w:topLinePunct w:val="0"/>
              <w:bidi w:val="0"/>
              <w:adjustRightInd/>
              <w:spacing w:line="360" w:lineRule="exact"/>
              <w:rPr>
                <w:rFonts w:hint="eastAsia" w:hAnsi="宋体" w:eastAsia="宋体"/>
                <w:bCs/>
                <w:color w:val="auto"/>
                <w:szCs w:val="21"/>
                <w:highlight w:val="none"/>
                <w:lang w:eastAsia="zh-CN"/>
              </w:rPr>
            </w:pPr>
            <w:r>
              <w:rPr>
                <w:rFonts w:hint="eastAsia"/>
                <w:color w:val="auto"/>
                <w:highlight w:val="none"/>
              </w:rPr>
              <w:t>采购项目名称：</w:t>
            </w:r>
            <w:r>
              <w:rPr>
                <w:rFonts w:hint="eastAsia"/>
                <w:color w:val="auto"/>
                <w:highlight w:val="none"/>
                <w:lang w:eastAsia="zh-CN"/>
              </w:rPr>
              <w:t>广西制造工程职业技术学院40#、41#、42#学生宿舍楼项目全过程跟踪审计服务</w:t>
            </w:r>
            <w:r>
              <w:rPr>
                <w:rFonts w:hint="eastAsia" w:ascii="宋体" w:hAnsi="宋体"/>
                <w:color w:val="auto"/>
                <w:szCs w:val="21"/>
                <w:highlight w:val="none"/>
                <w:u w:val="none"/>
                <w:lang w:eastAsia="zh-CN"/>
              </w:rPr>
              <w:t>（</w:t>
            </w:r>
            <w:r>
              <w:rPr>
                <w:color w:val="auto"/>
                <w:spacing w:val="2"/>
                <w:highlight w:val="none"/>
              </w:rPr>
              <w:t>施工过程造价咨询</w:t>
            </w:r>
            <w:r>
              <w:rPr>
                <w:rFonts w:hint="eastAsia"/>
                <w:color w:val="auto"/>
                <w:spacing w:val="2"/>
                <w:highlight w:val="none"/>
                <w:lang w:eastAsia="zh-CN"/>
              </w:rPr>
              <w:t>、</w:t>
            </w:r>
            <w:r>
              <w:rPr>
                <w:color w:val="auto"/>
                <w:spacing w:val="4"/>
                <w:highlight w:val="none"/>
              </w:rPr>
              <w:t>工</w:t>
            </w:r>
            <w:r>
              <w:rPr>
                <w:color w:val="auto"/>
                <w:spacing w:val="2"/>
                <w:highlight w:val="none"/>
              </w:rPr>
              <w:t>程竣工结算审核</w:t>
            </w:r>
            <w:r>
              <w:rPr>
                <w:rFonts w:hint="eastAsia"/>
                <w:color w:val="auto"/>
                <w:spacing w:val="2"/>
                <w:highlight w:val="none"/>
                <w:lang w:eastAsia="zh-CN"/>
              </w:rPr>
              <w:t>）</w:t>
            </w:r>
            <w:r>
              <w:rPr>
                <w:rFonts w:hint="eastAsia"/>
                <w:color w:val="auto"/>
                <w:highlight w:val="none"/>
                <w:lang w:eastAsia="zh-CN"/>
              </w:rPr>
              <w:t>采购</w:t>
            </w:r>
          </w:p>
          <w:p w14:paraId="3727EE9D">
            <w:pPr>
              <w:pStyle w:val="24"/>
              <w:keepNext w:val="0"/>
              <w:keepLines w:val="0"/>
              <w:pageBreakBefore w:val="0"/>
              <w:widowControl w:val="0"/>
              <w:shd w:val="clear"/>
              <w:kinsoku/>
              <w:wordWrap/>
              <w:overflowPunct/>
              <w:topLinePunct w:val="0"/>
              <w:bidi w:val="0"/>
              <w:adjustRightInd/>
              <w:spacing w:line="380" w:lineRule="exact"/>
              <w:rPr>
                <w:rFonts w:hint="eastAsia" w:hAnsi="宋体" w:eastAsia="宋体"/>
                <w:bCs/>
                <w:color w:val="auto"/>
                <w:szCs w:val="21"/>
                <w:highlight w:val="none"/>
                <w:lang w:eastAsia="zh-CN"/>
              </w:rPr>
            </w:pPr>
            <w:r>
              <w:rPr>
                <w:rFonts w:hint="eastAsia"/>
                <w:color w:val="auto"/>
                <w:highlight w:val="none"/>
              </w:rPr>
              <w:t>采购项目编号：</w:t>
            </w:r>
            <w:r>
              <w:rPr>
                <w:rFonts w:hint="eastAsia"/>
                <w:color w:val="auto"/>
                <w:highlight w:val="none"/>
                <w:lang w:eastAsia="zh-CN"/>
              </w:rPr>
              <w:t>GXGL2025S-C647-Z</w:t>
            </w:r>
          </w:p>
        </w:tc>
      </w:tr>
      <w:tr w14:paraId="2EB37939">
        <w:trPr>
          <w:trHeight w:val="907" w:hRule="atLeast"/>
          <w:jc w:val="center"/>
        </w:trPr>
        <w:tc>
          <w:tcPr>
            <w:tcW w:w="726" w:type="dxa"/>
            <w:noWrap w:val="0"/>
            <w:vAlign w:val="center"/>
          </w:tcPr>
          <w:p w14:paraId="0F397487">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2</w:t>
            </w:r>
          </w:p>
        </w:tc>
        <w:tc>
          <w:tcPr>
            <w:tcW w:w="945" w:type="dxa"/>
            <w:noWrap w:val="0"/>
            <w:vAlign w:val="center"/>
          </w:tcPr>
          <w:p w14:paraId="26790B78">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3</w:t>
            </w:r>
          </w:p>
        </w:tc>
        <w:tc>
          <w:tcPr>
            <w:tcW w:w="8106" w:type="dxa"/>
            <w:noWrap w:val="0"/>
            <w:vAlign w:val="center"/>
          </w:tcPr>
          <w:p w14:paraId="144B5207">
            <w:pPr>
              <w:pStyle w:val="24"/>
              <w:keepNext w:val="0"/>
              <w:keepLines w:val="0"/>
              <w:pageBreakBefore w:val="0"/>
              <w:widowControl w:val="0"/>
              <w:shd w:val="clear"/>
              <w:kinsoku/>
              <w:wordWrap/>
              <w:overflowPunct/>
              <w:topLinePunct w:val="0"/>
              <w:bidi w:val="0"/>
              <w:adjustRightInd/>
              <w:spacing w:line="380" w:lineRule="exact"/>
              <w:ind w:left="-36" w:firstLine="36"/>
              <w:rPr>
                <w:rFonts w:hint="eastAsia"/>
                <w:color w:val="auto"/>
                <w:highlight w:val="none"/>
              </w:rPr>
            </w:pPr>
            <w:r>
              <w:rPr>
                <w:rFonts w:hint="eastAsia"/>
                <w:color w:val="auto"/>
                <w:highlight w:val="none"/>
              </w:rPr>
              <w:t>供应商资格：按第一章磋商公告第二条规定。</w:t>
            </w:r>
          </w:p>
        </w:tc>
      </w:tr>
      <w:tr w14:paraId="5FCB53C9">
        <w:trPr>
          <w:trHeight w:val="907" w:hRule="atLeast"/>
          <w:jc w:val="center"/>
        </w:trPr>
        <w:tc>
          <w:tcPr>
            <w:tcW w:w="726" w:type="dxa"/>
            <w:noWrap w:val="0"/>
            <w:vAlign w:val="center"/>
          </w:tcPr>
          <w:p w14:paraId="2186C865">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3</w:t>
            </w:r>
          </w:p>
        </w:tc>
        <w:tc>
          <w:tcPr>
            <w:tcW w:w="945" w:type="dxa"/>
            <w:noWrap w:val="0"/>
            <w:vAlign w:val="center"/>
          </w:tcPr>
          <w:p w14:paraId="2E94A45C">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7.4</w:t>
            </w:r>
          </w:p>
        </w:tc>
        <w:tc>
          <w:tcPr>
            <w:tcW w:w="8106" w:type="dxa"/>
            <w:noWrap w:val="0"/>
            <w:vAlign w:val="center"/>
          </w:tcPr>
          <w:p w14:paraId="2C13A1ED">
            <w:pPr>
              <w:keepNext w:val="0"/>
              <w:keepLines w:val="0"/>
              <w:pageBreakBefore w:val="0"/>
              <w:widowControl w:val="0"/>
              <w:shd w:val="clear"/>
              <w:kinsoku/>
              <w:wordWrap/>
              <w:overflowPunct/>
              <w:topLinePunct w:val="0"/>
              <w:bidi w:val="0"/>
              <w:adjustRightInd/>
              <w:spacing w:line="380" w:lineRule="exact"/>
              <w:rPr>
                <w:rFonts w:hint="eastAsia" w:ascii="宋体" w:hAnsi="宋体"/>
                <w:color w:val="auto"/>
                <w:szCs w:val="21"/>
                <w:highlight w:val="none"/>
              </w:rPr>
            </w:pPr>
            <w:r>
              <w:rPr>
                <w:rFonts w:hint="eastAsia"/>
                <w:color w:val="auto"/>
                <w:highlight w:val="none"/>
              </w:rPr>
              <w:t>磋商报价：供应商必须就所竞项目的全部内容作完整唯一报价，漏项报价的或有选择的或有条件的报价，其响应文件将视为无效。</w:t>
            </w:r>
          </w:p>
        </w:tc>
      </w:tr>
      <w:tr w14:paraId="36E2A161">
        <w:trPr>
          <w:trHeight w:val="907" w:hRule="atLeast"/>
          <w:jc w:val="center"/>
        </w:trPr>
        <w:tc>
          <w:tcPr>
            <w:tcW w:w="726" w:type="dxa"/>
            <w:noWrap w:val="0"/>
            <w:vAlign w:val="center"/>
          </w:tcPr>
          <w:p w14:paraId="65762ED0">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4</w:t>
            </w:r>
          </w:p>
        </w:tc>
        <w:tc>
          <w:tcPr>
            <w:tcW w:w="945" w:type="dxa"/>
            <w:noWrap w:val="0"/>
            <w:vAlign w:val="center"/>
          </w:tcPr>
          <w:p w14:paraId="3A087826">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19.1</w:t>
            </w:r>
          </w:p>
        </w:tc>
        <w:tc>
          <w:tcPr>
            <w:tcW w:w="8106" w:type="dxa"/>
            <w:noWrap w:val="0"/>
            <w:vAlign w:val="center"/>
          </w:tcPr>
          <w:p w14:paraId="670170D9">
            <w:pPr>
              <w:keepNext w:val="0"/>
              <w:keepLines w:val="0"/>
              <w:pageBreakBefore w:val="0"/>
              <w:widowControl w:val="0"/>
              <w:shd w:val="clear"/>
              <w:kinsoku/>
              <w:wordWrap/>
              <w:overflowPunct/>
              <w:topLinePunct w:val="0"/>
              <w:bidi w:val="0"/>
              <w:adjustRightInd/>
              <w:spacing w:line="380" w:lineRule="exact"/>
              <w:rPr>
                <w:rFonts w:hint="eastAsia" w:ascii="宋体" w:hAnsi="宋体"/>
                <w:color w:val="auto"/>
                <w:highlight w:val="none"/>
              </w:rPr>
            </w:pPr>
            <w:r>
              <w:rPr>
                <w:rFonts w:hint="eastAsia" w:ascii="宋体" w:hAnsi="宋体"/>
                <w:color w:val="auto"/>
                <w:highlight w:val="none"/>
              </w:rPr>
              <w:t>成交服务费：本项目的成交服务费按本须知1</w:t>
            </w:r>
            <w:r>
              <w:rPr>
                <w:rFonts w:hint="eastAsia" w:ascii="宋体" w:hAnsi="宋体"/>
                <w:color w:val="auto"/>
                <w:highlight w:val="none"/>
                <w:lang w:val="en-US" w:eastAsia="zh-CN"/>
              </w:rPr>
              <w:t>9</w:t>
            </w:r>
            <w:r>
              <w:rPr>
                <w:rFonts w:hint="eastAsia" w:ascii="宋体" w:hAnsi="宋体"/>
                <w:color w:val="auto"/>
                <w:highlight w:val="none"/>
              </w:rPr>
              <w:t>.1款规定的标准采用差额定率累进计费方式计取，由成交供应商在发布成交结果公告后，一次性向采购代理机构支付。</w:t>
            </w:r>
          </w:p>
        </w:tc>
      </w:tr>
      <w:tr w14:paraId="0D2D1F90">
        <w:trPr>
          <w:trHeight w:val="907" w:hRule="atLeast"/>
          <w:jc w:val="center"/>
        </w:trPr>
        <w:tc>
          <w:tcPr>
            <w:tcW w:w="726" w:type="dxa"/>
            <w:noWrap w:val="0"/>
            <w:vAlign w:val="center"/>
          </w:tcPr>
          <w:p w14:paraId="5EA7DF34">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5</w:t>
            </w:r>
          </w:p>
        </w:tc>
        <w:tc>
          <w:tcPr>
            <w:tcW w:w="945" w:type="dxa"/>
            <w:noWrap w:val="0"/>
            <w:vAlign w:val="center"/>
          </w:tcPr>
          <w:p w14:paraId="6AD2ED8D">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10.2</w:t>
            </w:r>
          </w:p>
        </w:tc>
        <w:tc>
          <w:tcPr>
            <w:tcW w:w="8106" w:type="dxa"/>
            <w:noWrap w:val="0"/>
            <w:vAlign w:val="center"/>
          </w:tcPr>
          <w:p w14:paraId="07A2F312">
            <w:pPr>
              <w:pStyle w:val="10"/>
              <w:keepNext w:val="0"/>
              <w:keepLines w:val="0"/>
              <w:pageBreakBefore w:val="0"/>
              <w:widowControl w:val="0"/>
              <w:shd w:val="clear"/>
              <w:kinsoku/>
              <w:wordWrap/>
              <w:overflowPunct/>
              <w:topLinePunct w:val="0"/>
              <w:bidi w:val="0"/>
              <w:adjustRightInd/>
              <w:spacing w:line="380" w:lineRule="exact"/>
              <w:rPr>
                <w:rFonts w:hint="eastAsia" w:hAnsi="宋体"/>
                <w:color w:val="auto"/>
                <w:highlight w:val="none"/>
                <w:u w:val="none"/>
              </w:rPr>
            </w:pPr>
            <w:r>
              <w:rPr>
                <w:rFonts w:hint="eastAsia"/>
                <w:color w:val="auto"/>
                <w:highlight w:val="none"/>
                <w:u w:val="none"/>
              </w:rPr>
              <w:t>响应文件份数：正本一份，副本四份</w:t>
            </w:r>
            <w:r>
              <w:rPr>
                <w:rFonts w:hint="eastAsia" w:hAnsi="宋体"/>
                <w:color w:val="auto"/>
                <w:highlight w:val="none"/>
                <w:u w:val="none"/>
              </w:rPr>
              <w:t>。供应商在递交响应文件时，同时递交响应文件电子版。</w:t>
            </w:r>
          </w:p>
          <w:p w14:paraId="3CB91725">
            <w:pPr>
              <w:pStyle w:val="10"/>
              <w:keepNext w:val="0"/>
              <w:keepLines w:val="0"/>
              <w:pageBreakBefore w:val="0"/>
              <w:widowControl w:val="0"/>
              <w:shd w:val="clear"/>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1</w:t>
            </w:r>
            <w:r>
              <w:rPr>
                <w:rFonts w:hint="eastAsia" w:hAnsi="宋体"/>
                <w:color w:val="auto"/>
                <w:highlight w:val="none"/>
                <w:u w:val="none"/>
                <w:lang w:val="en-US" w:eastAsia="zh-CN"/>
              </w:rPr>
              <w:t>.</w:t>
            </w:r>
            <w:r>
              <w:rPr>
                <w:rFonts w:hint="eastAsia" w:hAnsi="宋体"/>
                <w:color w:val="auto"/>
                <w:highlight w:val="none"/>
                <w:u w:val="none"/>
              </w:rPr>
              <w:t>响应文件电子版份数：1份。</w:t>
            </w:r>
          </w:p>
          <w:p w14:paraId="4B19DF11">
            <w:pPr>
              <w:pStyle w:val="10"/>
              <w:keepNext w:val="0"/>
              <w:keepLines w:val="0"/>
              <w:pageBreakBefore w:val="0"/>
              <w:widowControl w:val="0"/>
              <w:shd w:val="clear"/>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2</w:t>
            </w:r>
            <w:r>
              <w:rPr>
                <w:rFonts w:hint="eastAsia" w:hAnsi="宋体"/>
                <w:color w:val="auto"/>
                <w:highlight w:val="none"/>
                <w:u w:val="none"/>
                <w:lang w:val="en-US" w:eastAsia="zh-CN"/>
              </w:rPr>
              <w:t>.</w:t>
            </w:r>
            <w:r>
              <w:rPr>
                <w:rFonts w:hint="eastAsia" w:hAnsi="宋体"/>
                <w:color w:val="auto"/>
                <w:highlight w:val="none"/>
                <w:u w:val="none"/>
              </w:rPr>
              <w:t>响应文件电子版形式：签字盖章的</w:t>
            </w:r>
            <w:r>
              <w:rPr>
                <w:rFonts w:hint="eastAsia" w:hAnsi="宋体"/>
                <w:color w:val="auto"/>
                <w:highlight w:val="none"/>
                <w:u w:val="none"/>
                <w:lang w:val="en-US" w:eastAsia="zh-CN"/>
              </w:rPr>
              <w:t>全套响应文件</w:t>
            </w:r>
            <w:r>
              <w:rPr>
                <w:rFonts w:hint="eastAsia" w:hAnsi="宋体"/>
                <w:color w:val="auto"/>
                <w:highlight w:val="none"/>
                <w:u w:val="none"/>
              </w:rPr>
              <w:t>PDF扫描件</w:t>
            </w:r>
            <w:r>
              <w:rPr>
                <w:rFonts w:hint="eastAsia" w:hAnsi="宋体"/>
                <w:color w:val="auto"/>
                <w:highlight w:val="none"/>
                <w:u w:val="none"/>
                <w:lang w:val="en-US" w:eastAsia="zh-CN"/>
              </w:rPr>
              <w:t>、</w:t>
            </w:r>
            <w:r>
              <w:rPr>
                <w:rFonts w:hint="eastAsia" w:hAnsi="宋体"/>
                <w:color w:val="auto"/>
                <w:highlight w:val="none"/>
                <w:u w:val="none"/>
              </w:rPr>
              <w:t>可编辑的Word文档</w:t>
            </w:r>
            <w:r>
              <w:rPr>
                <w:rFonts w:hint="eastAsia" w:hAnsi="宋体"/>
                <w:color w:val="auto"/>
                <w:highlight w:val="none"/>
                <w:u w:val="none"/>
                <w:lang w:eastAsia="zh-CN"/>
              </w:rPr>
              <w:t>、</w:t>
            </w:r>
            <w:r>
              <w:rPr>
                <w:rFonts w:hint="eastAsia" w:hAnsi="宋体"/>
                <w:color w:val="auto"/>
                <w:highlight w:val="none"/>
                <w:u w:val="none"/>
              </w:rPr>
              <w:t>可编辑的Excel</w:t>
            </w:r>
            <w:r>
              <w:rPr>
                <w:rFonts w:hint="eastAsia" w:hAnsi="宋体"/>
                <w:color w:val="auto"/>
                <w:highlight w:val="none"/>
                <w:u w:val="none"/>
                <w:lang w:val="en-US" w:eastAsia="zh-CN"/>
              </w:rPr>
              <w:t>文件（如有）。</w:t>
            </w:r>
          </w:p>
          <w:p w14:paraId="593C2481">
            <w:pPr>
              <w:pStyle w:val="10"/>
              <w:keepNext w:val="0"/>
              <w:keepLines w:val="0"/>
              <w:pageBreakBefore w:val="0"/>
              <w:widowControl w:val="0"/>
              <w:shd w:val="clear"/>
              <w:kinsoku/>
              <w:wordWrap/>
              <w:overflowPunct/>
              <w:topLinePunct w:val="0"/>
              <w:bidi w:val="0"/>
              <w:adjustRightInd/>
              <w:spacing w:line="380" w:lineRule="exact"/>
              <w:rPr>
                <w:rFonts w:hint="eastAsia" w:hAnsi="宋体"/>
                <w:color w:val="auto"/>
                <w:highlight w:val="none"/>
                <w:u w:val="none"/>
              </w:rPr>
            </w:pPr>
            <w:r>
              <w:rPr>
                <w:rFonts w:hint="eastAsia" w:hAnsi="宋体"/>
                <w:color w:val="auto"/>
                <w:highlight w:val="none"/>
                <w:u w:val="none"/>
              </w:rPr>
              <w:t>3</w:t>
            </w:r>
            <w:r>
              <w:rPr>
                <w:rFonts w:hint="eastAsia" w:hAnsi="宋体"/>
                <w:color w:val="auto"/>
                <w:highlight w:val="none"/>
                <w:u w:val="none"/>
                <w:lang w:val="en-US" w:eastAsia="zh-CN"/>
              </w:rPr>
              <w:t>.</w:t>
            </w:r>
            <w:r>
              <w:rPr>
                <w:rFonts w:hint="eastAsia" w:hAnsi="宋体"/>
                <w:color w:val="auto"/>
                <w:highlight w:val="none"/>
                <w:u w:val="none"/>
              </w:rPr>
              <w:t>响应文件电子版密封方式：将响应文件电子版U盘与纸质版响应文件一并装入响应文件袋中。</w:t>
            </w:r>
          </w:p>
        </w:tc>
      </w:tr>
      <w:tr w14:paraId="71B95EDE">
        <w:trPr>
          <w:trHeight w:val="907" w:hRule="atLeast"/>
          <w:jc w:val="center"/>
        </w:trPr>
        <w:tc>
          <w:tcPr>
            <w:tcW w:w="726" w:type="dxa"/>
            <w:noWrap w:val="0"/>
            <w:vAlign w:val="center"/>
          </w:tcPr>
          <w:p w14:paraId="0B2390BE">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6</w:t>
            </w:r>
          </w:p>
        </w:tc>
        <w:tc>
          <w:tcPr>
            <w:tcW w:w="945" w:type="dxa"/>
            <w:noWrap w:val="0"/>
            <w:vAlign w:val="center"/>
          </w:tcPr>
          <w:p w14:paraId="1A5C647A">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11.1</w:t>
            </w:r>
          </w:p>
          <w:p w14:paraId="63884972">
            <w:pPr>
              <w:pStyle w:val="10"/>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11.2</w:t>
            </w:r>
          </w:p>
        </w:tc>
        <w:tc>
          <w:tcPr>
            <w:tcW w:w="8106" w:type="dxa"/>
            <w:noWrap w:val="0"/>
            <w:vAlign w:val="center"/>
          </w:tcPr>
          <w:p w14:paraId="705C7592">
            <w:pPr>
              <w:pStyle w:val="24"/>
              <w:keepNext w:val="0"/>
              <w:keepLines w:val="0"/>
              <w:pageBreakBefore w:val="0"/>
              <w:widowControl w:val="0"/>
              <w:shd w:val="clear"/>
              <w:kinsoku/>
              <w:wordWrap/>
              <w:overflowPunct/>
              <w:topLinePunct w:val="0"/>
              <w:bidi w:val="0"/>
              <w:adjustRightInd/>
              <w:spacing w:line="380" w:lineRule="exact"/>
              <w:rPr>
                <w:rFonts w:hint="eastAsia"/>
                <w:bCs/>
                <w:color w:val="auto"/>
                <w:highlight w:val="none"/>
              </w:rPr>
            </w:pPr>
            <w:r>
              <w:rPr>
                <w:rFonts w:hint="eastAsia"/>
                <w:color w:val="auto"/>
                <w:highlight w:val="none"/>
              </w:rPr>
              <w:t>响应文件递交截止时间：</w:t>
            </w:r>
            <w:r>
              <w:rPr>
                <w:rFonts w:hint="eastAsia" w:hAnsi="宋体"/>
                <w:color w:val="auto"/>
                <w:szCs w:val="21"/>
                <w:highlight w:val="none"/>
                <w:u w:val="single"/>
              </w:rPr>
              <w:t>详见磋商公告</w:t>
            </w:r>
          </w:p>
          <w:p w14:paraId="511D563B">
            <w:pPr>
              <w:pStyle w:val="10"/>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响应文件递交地址：</w:t>
            </w:r>
            <w:r>
              <w:rPr>
                <w:rFonts w:hint="eastAsia" w:hAnsi="宋体"/>
                <w:color w:val="auto"/>
                <w:highlight w:val="none"/>
                <w:u w:val="single"/>
              </w:rPr>
              <w:t>详见磋商公告</w:t>
            </w:r>
          </w:p>
        </w:tc>
      </w:tr>
      <w:tr w14:paraId="5A422FD0">
        <w:trPr>
          <w:trHeight w:val="907" w:hRule="atLeast"/>
          <w:jc w:val="center"/>
        </w:trPr>
        <w:tc>
          <w:tcPr>
            <w:tcW w:w="726" w:type="dxa"/>
            <w:noWrap w:val="0"/>
            <w:vAlign w:val="center"/>
          </w:tcPr>
          <w:p w14:paraId="5E389046">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7</w:t>
            </w:r>
          </w:p>
        </w:tc>
        <w:tc>
          <w:tcPr>
            <w:tcW w:w="945" w:type="dxa"/>
            <w:noWrap w:val="0"/>
            <w:vAlign w:val="center"/>
          </w:tcPr>
          <w:p w14:paraId="7606C9F4">
            <w:pPr>
              <w:pStyle w:val="10"/>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8.1</w:t>
            </w:r>
          </w:p>
        </w:tc>
        <w:tc>
          <w:tcPr>
            <w:tcW w:w="8106" w:type="dxa"/>
            <w:noWrap w:val="0"/>
            <w:vAlign w:val="center"/>
          </w:tcPr>
          <w:p w14:paraId="22F63F37">
            <w:pPr>
              <w:pStyle w:val="24"/>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竞争性磋商响应文件有效期：响应文件递交截止日期后六十日。</w:t>
            </w:r>
          </w:p>
          <w:p w14:paraId="49346540">
            <w:pPr>
              <w:pStyle w:val="10"/>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未成交的响应文件有效期内均应保持有效。</w:t>
            </w:r>
          </w:p>
          <w:p w14:paraId="6C5752A9">
            <w:pPr>
              <w:pStyle w:val="10"/>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成交供应商的响应文件有效期自响应文件提交截止之日起至合同履行完毕止均应保持有效。</w:t>
            </w:r>
          </w:p>
        </w:tc>
      </w:tr>
      <w:tr w14:paraId="33C4ABBE">
        <w:trPr>
          <w:trHeight w:val="907" w:hRule="atLeast"/>
          <w:jc w:val="center"/>
        </w:trPr>
        <w:tc>
          <w:tcPr>
            <w:tcW w:w="726" w:type="dxa"/>
            <w:noWrap w:val="0"/>
            <w:vAlign w:val="center"/>
          </w:tcPr>
          <w:p w14:paraId="2C7BB99A">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8</w:t>
            </w:r>
          </w:p>
        </w:tc>
        <w:tc>
          <w:tcPr>
            <w:tcW w:w="945" w:type="dxa"/>
            <w:noWrap w:val="0"/>
            <w:vAlign w:val="center"/>
          </w:tcPr>
          <w:p w14:paraId="75B5DB77">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13.1</w:t>
            </w:r>
          </w:p>
        </w:tc>
        <w:tc>
          <w:tcPr>
            <w:tcW w:w="8106" w:type="dxa"/>
            <w:noWrap w:val="0"/>
            <w:vAlign w:val="center"/>
          </w:tcPr>
          <w:p w14:paraId="0282ED56">
            <w:pPr>
              <w:pStyle w:val="10"/>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磋商保证金（人民币）：</w:t>
            </w:r>
            <w:r>
              <w:rPr>
                <w:rFonts w:hint="eastAsia" w:hAnsi="宋体"/>
                <w:color w:val="auto"/>
                <w:highlight w:val="none"/>
                <w:u w:val="single"/>
              </w:rPr>
              <w:t>详见磋商公告</w:t>
            </w:r>
          </w:p>
        </w:tc>
      </w:tr>
      <w:tr w14:paraId="703EA50F">
        <w:trPr>
          <w:trHeight w:val="907" w:hRule="atLeast"/>
          <w:jc w:val="center"/>
        </w:trPr>
        <w:tc>
          <w:tcPr>
            <w:tcW w:w="726" w:type="dxa"/>
            <w:noWrap w:val="0"/>
            <w:vAlign w:val="center"/>
          </w:tcPr>
          <w:p w14:paraId="4BE8914B">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9</w:t>
            </w:r>
          </w:p>
        </w:tc>
        <w:tc>
          <w:tcPr>
            <w:tcW w:w="945" w:type="dxa"/>
            <w:noWrap w:val="0"/>
            <w:vAlign w:val="center"/>
          </w:tcPr>
          <w:p w14:paraId="0F4F5077">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14.1</w:t>
            </w:r>
          </w:p>
        </w:tc>
        <w:tc>
          <w:tcPr>
            <w:tcW w:w="8106" w:type="dxa"/>
            <w:noWrap w:val="0"/>
            <w:vAlign w:val="center"/>
          </w:tcPr>
          <w:p w14:paraId="424C8B7A">
            <w:pPr>
              <w:pStyle w:val="24"/>
              <w:keepNext w:val="0"/>
              <w:keepLines w:val="0"/>
              <w:pageBreakBefore w:val="0"/>
              <w:widowControl w:val="0"/>
              <w:shd w:val="clear"/>
              <w:kinsoku/>
              <w:wordWrap/>
              <w:overflowPunct/>
              <w:topLinePunct w:val="0"/>
              <w:bidi w:val="0"/>
              <w:adjustRightInd/>
              <w:spacing w:line="380" w:lineRule="exact"/>
              <w:rPr>
                <w:rFonts w:hint="eastAsia"/>
                <w:bCs/>
                <w:color w:val="auto"/>
                <w:highlight w:val="none"/>
              </w:rPr>
            </w:pPr>
            <w:r>
              <w:rPr>
                <w:rFonts w:hint="eastAsia"/>
                <w:bCs/>
                <w:color w:val="auto"/>
                <w:highlight w:val="none"/>
              </w:rPr>
              <w:t>磋商时间：</w:t>
            </w:r>
            <w:r>
              <w:rPr>
                <w:rFonts w:hint="eastAsia" w:hAnsi="宋体"/>
                <w:color w:val="auto"/>
                <w:szCs w:val="21"/>
                <w:highlight w:val="none"/>
                <w:u w:val="single"/>
              </w:rPr>
              <w:t>详见磋商公告</w:t>
            </w:r>
          </w:p>
          <w:p w14:paraId="72231C55">
            <w:pPr>
              <w:pStyle w:val="24"/>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bCs/>
                <w:color w:val="auto"/>
                <w:highlight w:val="none"/>
              </w:rPr>
              <w:t>磋商地点：</w:t>
            </w:r>
            <w:r>
              <w:rPr>
                <w:rFonts w:hint="eastAsia"/>
                <w:color w:val="auto"/>
                <w:highlight w:val="none"/>
                <w:u w:val="single"/>
              </w:rPr>
              <w:t>详见磋商公告</w:t>
            </w:r>
          </w:p>
        </w:tc>
      </w:tr>
      <w:tr w14:paraId="631730BB">
        <w:trPr>
          <w:trHeight w:val="907" w:hRule="atLeast"/>
          <w:jc w:val="center"/>
        </w:trPr>
        <w:tc>
          <w:tcPr>
            <w:tcW w:w="726" w:type="dxa"/>
            <w:noWrap w:val="0"/>
            <w:vAlign w:val="center"/>
          </w:tcPr>
          <w:p w14:paraId="0F4D6851">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10</w:t>
            </w:r>
          </w:p>
        </w:tc>
        <w:tc>
          <w:tcPr>
            <w:tcW w:w="945" w:type="dxa"/>
            <w:noWrap w:val="0"/>
            <w:vAlign w:val="center"/>
          </w:tcPr>
          <w:p w14:paraId="7D1B6D0A">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r>
              <w:rPr>
                <w:rFonts w:hint="eastAsia"/>
                <w:color w:val="auto"/>
                <w:highlight w:val="none"/>
              </w:rPr>
              <w:t>14.6</w:t>
            </w:r>
          </w:p>
        </w:tc>
        <w:tc>
          <w:tcPr>
            <w:tcW w:w="8106" w:type="dxa"/>
            <w:noWrap w:val="0"/>
            <w:vAlign w:val="center"/>
          </w:tcPr>
          <w:p w14:paraId="45241A13">
            <w:pPr>
              <w:pStyle w:val="24"/>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评标方法：综合评分法（详细见第六章）</w:t>
            </w:r>
          </w:p>
        </w:tc>
      </w:tr>
      <w:tr w14:paraId="42EA8BC4">
        <w:trPr>
          <w:trHeight w:val="907" w:hRule="atLeast"/>
          <w:jc w:val="center"/>
        </w:trPr>
        <w:tc>
          <w:tcPr>
            <w:tcW w:w="726" w:type="dxa"/>
            <w:noWrap w:val="0"/>
            <w:vAlign w:val="center"/>
          </w:tcPr>
          <w:p w14:paraId="4347285B">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firstLine="0" w:firstLineChars="0"/>
              <w:jc w:val="center"/>
              <w:textAlignment w:val="auto"/>
              <w:rPr>
                <w:rFonts w:hint="eastAsia"/>
                <w:color w:val="auto"/>
                <w:highlight w:val="none"/>
              </w:rPr>
            </w:pPr>
            <w:r>
              <w:rPr>
                <w:rFonts w:hint="eastAsia" w:ascii="宋体" w:hAnsi="Courier New" w:eastAsia="宋体" w:cs="Times New Roman"/>
                <w:b w:val="0"/>
                <w:i w:val="0"/>
                <w:snapToGrid w:val="0"/>
                <w:color w:val="auto"/>
                <w:kern w:val="0"/>
                <w:sz w:val="21"/>
                <w:szCs w:val="20"/>
                <w:highlight w:val="none"/>
                <w:lang w:val="en-US" w:eastAsia="zh-CN" w:bidi="ar-SA"/>
              </w:rPr>
              <w:t>11</w:t>
            </w:r>
          </w:p>
        </w:tc>
        <w:tc>
          <w:tcPr>
            <w:tcW w:w="945" w:type="dxa"/>
            <w:noWrap w:val="0"/>
            <w:vAlign w:val="center"/>
          </w:tcPr>
          <w:p w14:paraId="5E8B5589">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p>
        </w:tc>
        <w:tc>
          <w:tcPr>
            <w:tcW w:w="8106" w:type="dxa"/>
            <w:noWrap w:val="0"/>
            <w:vAlign w:val="center"/>
          </w:tcPr>
          <w:p w14:paraId="2C45A4A5">
            <w:pPr>
              <w:pStyle w:val="24"/>
              <w:keepNext w:val="0"/>
              <w:keepLines w:val="0"/>
              <w:pageBreakBefore w:val="0"/>
              <w:widowControl w:val="0"/>
              <w:shd w:val="clear"/>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采购人或采购代理机构在资格审查结束前对供应商进行信用查询</w:t>
            </w:r>
          </w:p>
          <w:p w14:paraId="2E38FF94">
            <w:pPr>
              <w:pStyle w:val="24"/>
              <w:keepNext w:val="0"/>
              <w:keepLines w:val="0"/>
              <w:pageBreakBefore w:val="0"/>
              <w:widowControl w:val="0"/>
              <w:shd w:val="clear"/>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查询渠道：“信用中国”网站(www.creditchina.gov.cn) 、中国政府采购网(www.ccgp.gov.cn)</w:t>
            </w:r>
          </w:p>
          <w:p w14:paraId="277BD2DA">
            <w:pPr>
              <w:pStyle w:val="24"/>
              <w:keepNext w:val="0"/>
              <w:keepLines w:val="0"/>
              <w:pageBreakBefore w:val="0"/>
              <w:widowControl w:val="0"/>
              <w:shd w:val="clear"/>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查询截止时间：资格审查结束前。</w:t>
            </w:r>
          </w:p>
          <w:p w14:paraId="198FC677">
            <w:pPr>
              <w:pStyle w:val="24"/>
              <w:keepNext w:val="0"/>
              <w:keepLines w:val="0"/>
              <w:pageBreakBefore w:val="0"/>
              <w:widowControl w:val="0"/>
              <w:shd w:val="clear"/>
              <w:kinsoku/>
              <w:wordWrap w:val="0"/>
              <w:overflowPunct/>
              <w:topLinePunct w:val="0"/>
              <w:autoSpaceDE/>
              <w:autoSpaceDN/>
              <w:bidi w:val="0"/>
              <w:adjustRightInd/>
              <w:snapToGrid/>
              <w:spacing w:line="380" w:lineRule="exact"/>
              <w:textAlignment w:val="auto"/>
              <w:rPr>
                <w:rFonts w:hint="eastAsia" w:ascii="宋体"/>
                <w:color w:val="auto"/>
                <w:szCs w:val="21"/>
                <w:highlight w:val="none"/>
              </w:rPr>
            </w:pPr>
            <w:r>
              <w:rPr>
                <w:rFonts w:hint="eastAsia" w:ascii="宋体"/>
                <w:color w:val="auto"/>
                <w:szCs w:val="21"/>
                <w:highlight w:val="none"/>
              </w:rPr>
              <w:t>查询记录和证据留存方式：在查询网站中直接打印查询记录，打印材料作为评审资料保存。</w:t>
            </w:r>
          </w:p>
          <w:p w14:paraId="02DA61AB">
            <w:pPr>
              <w:pStyle w:val="24"/>
              <w:keepNext w:val="0"/>
              <w:keepLines w:val="0"/>
              <w:pageBreakBefore w:val="0"/>
              <w:widowControl w:val="0"/>
              <w:shd w:val="clear"/>
              <w:kinsoku/>
              <w:wordWrap w:val="0"/>
              <w:overflowPunct/>
              <w:topLinePunct w:val="0"/>
              <w:autoSpaceDE/>
              <w:autoSpaceDN/>
              <w:bidi w:val="0"/>
              <w:adjustRightInd/>
              <w:snapToGrid/>
              <w:spacing w:line="380" w:lineRule="exact"/>
              <w:textAlignment w:val="auto"/>
              <w:rPr>
                <w:rFonts w:hint="eastAsia"/>
                <w:color w:val="auto"/>
                <w:highlight w:val="none"/>
              </w:rPr>
            </w:pPr>
            <w:r>
              <w:rPr>
                <w:rFonts w:hint="eastAsia" w:asci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将拒绝其参与政府采购活动。</w:t>
            </w:r>
          </w:p>
        </w:tc>
      </w:tr>
      <w:tr w14:paraId="06CB1DCB">
        <w:trPr>
          <w:trHeight w:val="907" w:hRule="atLeast"/>
          <w:jc w:val="center"/>
        </w:trPr>
        <w:tc>
          <w:tcPr>
            <w:tcW w:w="726" w:type="dxa"/>
            <w:noWrap w:val="0"/>
            <w:vAlign w:val="center"/>
          </w:tcPr>
          <w:p w14:paraId="267B22F9">
            <w:pPr>
              <w:pStyle w:val="24"/>
              <w:keepNext w:val="0"/>
              <w:keepLines w:val="0"/>
              <w:pageBreakBefore w:val="0"/>
              <w:widowControl w:val="0"/>
              <w:numPr>
                <w:ilvl w:val="0"/>
                <w:numId w:val="0"/>
              </w:numPr>
              <w:shd w:val="clear"/>
              <w:kinsoku/>
              <w:wordWrap/>
              <w:overflowPunct/>
              <w:topLinePunct w:val="0"/>
              <w:bidi w:val="0"/>
              <w:adjustRightInd/>
              <w:snapToGrid/>
              <w:spacing w:line="380" w:lineRule="exact"/>
              <w:ind w:left="0" w:leftChars="0"/>
              <w:jc w:val="center"/>
              <w:textAlignment w:val="auto"/>
              <w:rPr>
                <w:rFonts w:hint="eastAsia"/>
                <w:color w:val="auto"/>
                <w:highlight w:val="none"/>
              </w:rPr>
            </w:pPr>
          </w:p>
        </w:tc>
        <w:tc>
          <w:tcPr>
            <w:tcW w:w="945" w:type="dxa"/>
            <w:noWrap w:val="0"/>
            <w:vAlign w:val="center"/>
          </w:tcPr>
          <w:p w14:paraId="524768D4">
            <w:pPr>
              <w:pStyle w:val="24"/>
              <w:keepNext w:val="0"/>
              <w:keepLines w:val="0"/>
              <w:pageBreakBefore w:val="0"/>
              <w:widowControl w:val="0"/>
              <w:shd w:val="clear"/>
              <w:kinsoku/>
              <w:wordWrap/>
              <w:overflowPunct/>
              <w:topLinePunct w:val="0"/>
              <w:bidi w:val="0"/>
              <w:adjustRightInd/>
              <w:spacing w:line="380" w:lineRule="exact"/>
              <w:jc w:val="center"/>
              <w:rPr>
                <w:rFonts w:hint="eastAsia"/>
                <w:color w:val="auto"/>
                <w:highlight w:val="none"/>
              </w:rPr>
            </w:pPr>
          </w:p>
        </w:tc>
        <w:tc>
          <w:tcPr>
            <w:tcW w:w="8106" w:type="dxa"/>
            <w:noWrap w:val="0"/>
            <w:vAlign w:val="center"/>
          </w:tcPr>
          <w:p w14:paraId="17D57A5F">
            <w:pPr>
              <w:pStyle w:val="24"/>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1</w:t>
            </w:r>
            <w:r>
              <w:rPr>
                <w:rFonts w:hint="eastAsia"/>
                <w:color w:val="auto"/>
                <w:highlight w:val="none"/>
                <w:lang w:val="en-US" w:eastAsia="zh-CN"/>
              </w:rPr>
              <w:t>.</w:t>
            </w:r>
            <w:r>
              <w:rPr>
                <w:rFonts w:hint="eastAsia"/>
                <w:color w:val="auto"/>
                <w:highlight w:val="none"/>
              </w:rPr>
              <w:t>本文件中描述供应商的“公章”是指根据我国对公章的管理规定，用供应商法定主体行为名称制作的印章，除本文件有特殊规定外，供应商的财务章、部门章、分公司章、工会章、合同章、投标专用章、业务专用章及银行的转账章、现金收讫章、现金付讫章等其它形式印章均不能代替公章。</w:t>
            </w:r>
          </w:p>
          <w:p w14:paraId="79152700">
            <w:pPr>
              <w:pStyle w:val="24"/>
              <w:keepNext w:val="0"/>
              <w:keepLines w:val="0"/>
              <w:pageBreakBefore w:val="0"/>
              <w:widowControl w:val="0"/>
              <w:shd w:val="clear"/>
              <w:kinsoku/>
              <w:wordWrap/>
              <w:overflowPunct/>
              <w:topLinePunct w:val="0"/>
              <w:bidi w:val="0"/>
              <w:adjustRightInd/>
              <w:spacing w:line="380" w:lineRule="exact"/>
              <w:rPr>
                <w:rFonts w:hint="eastAsia"/>
                <w:color w:val="auto"/>
                <w:highlight w:val="none"/>
              </w:rPr>
            </w:pPr>
            <w:r>
              <w:rPr>
                <w:rFonts w:hint="eastAsia"/>
                <w:color w:val="auto"/>
                <w:highlight w:val="none"/>
              </w:rPr>
              <w:t>2</w:t>
            </w:r>
            <w:r>
              <w:rPr>
                <w:rFonts w:hint="eastAsia"/>
                <w:color w:val="auto"/>
                <w:highlight w:val="none"/>
                <w:lang w:val="en-US" w:eastAsia="zh-CN"/>
              </w:rPr>
              <w:t>.</w:t>
            </w:r>
            <w:r>
              <w:rPr>
                <w:rFonts w:hint="eastAsia"/>
                <w:color w:val="auto"/>
                <w:highlight w:val="none"/>
              </w:rPr>
              <w:t>本文件中描述供应商的“签字”是指供应商的法定代表人或被授权人亲自在文件规定签署处亲笔写上个人的名字的行为，私章、签字章、电子签名、印鉴、影印等其它形式均不能代替亲笔签字。</w:t>
            </w:r>
          </w:p>
        </w:tc>
      </w:tr>
    </w:tbl>
    <w:p w14:paraId="7E22E314">
      <w:pPr>
        <w:keepNext w:val="0"/>
        <w:keepLines w:val="0"/>
        <w:pageBreakBefore w:val="0"/>
        <w:widowControl w:val="0"/>
        <w:shd w:val="clear"/>
        <w:kinsoku/>
        <w:wordWrap/>
        <w:overflowPunct/>
        <w:topLinePunct w:val="0"/>
        <w:bidi w:val="0"/>
        <w:adjustRightInd/>
        <w:spacing w:line="380" w:lineRule="exact"/>
        <w:jc w:val="center"/>
        <w:rPr>
          <w:rFonts w:hint="eastAsia" w:ascii="仿宋_GB2312" w:hAnsi="宋体" w:eastAsia="仿宋_GB2312"/>
          <w:b/>
          <w:color w:val="auto"/>
          <w:sz w:val="32"/>
          <w:szCs w:val="32"/>
          <w:highlight w:val="none"/>
        </w:rPr>
      </w:pPr>
    </w:p>
    <w:p w14:paraId="43E3E6E1">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磋商供应商须知</w:t>
      </w:r>
    </w:p>
    <w:p w14:paraId="1B59560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一、总　则</w:t>
      </w:r>
    </w:p>
    <w:p w14:paraId="762CC047">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 适用范围</w:t>
      </w:r>
    </w:p>
    <w:p w14:paraId="41BD911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服务类</w:t>
      </w:r>
      <w:r>
        <w:rPr>
          <w:rFonts w:hint="eastAsia" w:ascii="宋体" w:hAnsi="宋体"/>
          <w:color w:val="auto"/>
          <w:szCs w:val="21"/>
          <w:highlight w:val="none"/>
        </w:rPr>
        <w:t>采购项目。</w:t>
      </w:r>
    </w:p>
    <w:p w14:paraId="13F81371">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 定义</w:t>
      </w:r>
    </w:p>
    <w:p w14:paraId="1030D935">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2.1“采购人”是指：</w:t>
      </w:r>
      <w:r>
        <w:rPr>
          <w:rFonts w:hint="eastAsia" w:ascii="宋体" w:hAnsi="宋体"/>
          <w:color w:val="auto"/>
          <w:szCs w:val="21"/>
          <w:highlight w:val="none"/>
          <w:lang w:eastAsia="zh-CN"/>
        </w:rPr>
        <w:t>广西制造工程职业技术学院</w:t>
      </w:r>
      <w:r>
        <w:rPr>
          <w:rFonts w:hint="eastAsia" w:ascii="宋体" w:hAnsi="宋体"/>
          <w:color w:val="auto"/>
          <w:szCs w:val="21"/>
          <w:highlight w:val="none"/>
        </w:rPr>
        <w:t>。</w:t>
      </w:r>
    </w:p>
    <w:p w14:paraId="559F71E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2.2</w:t>
      </w:r>
      <w:r>
        <w:rPr>
          <w:rFonts w:hint="eastAsia" w:ascii="宋体" w:hAnsi="宋体" w:eastAsia="宋体" w:cs="Times New Roman"/>
          <w:color w:val="auto"/>
          <w:highlight w:val="none"/>
          <w:lang w:val="en-US" w:eastAsia="zh-CN"/>
        </w:rPr>
        <w:t>“采购代理机构”是指：广西国力招标有限公司</w:t>
      </w:r>
      <w:r>
        <w:rPr>
          <w:rFonts w:hint="eastAsia"/>
          <w:color w:val="auto"/>
          <w:highlight w:val="none"/>
        </w:rPr>
        <w:t>。</w:t>
      </w:r>
    </w:p>
    <w:p w14:paraId="2026686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2.3“磋商供应商”是指响应本文件要求，参加磋商的法人或者其他组织和自然人。如果该供应商在本次磋商中成交,即成为“成交供应商”。</w:t>
      </w:r>
    </w:p>
    <w:p w14:paraId="434BF836">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3077E7A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2.5“服务”是指除货物和工程以外的其他采购对象。</w:t>
      </w:r>
    </w:p>
    <w:p w14:paraId="7E5BC52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2.6“竞争性磋商响应文件”是指：供应商根据本文件要求，编制包含报价、技术和服务等所有内容的文件。</w:t>
      </w:r>
    </w:p>
    <w:p w14:paraId="36B480B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3. 磋商供应商的基本条件：详见须知前附表。</w:t>
      </w:r>
    </w:p>
    <w:p w14:paraId="37658D6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 磋商费用、代理服务费</w:t>
      </w:r>
    </w:p>
    <w:p w14:paraId="2B710FF7">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4.1磋商供应商应自行承担所有与编写和提交竞争性磋商响应文件有关的费用，不论磋商结果如何，采购人和</w:t>
      </w:r>
      <w:r>
        <w:rPr>
          <w:rFonts w:hint="eastAsia" w:ascii="宋体" w:hAnsi="宋体" w:eastAsia="宋体" w:cs="Times New Roman"/>
          <w:color w:val="auto"/>
          <w:highlight w:val="none"/>
          <w:lang w:val="en-US" w:eastAsia="zh-CN"/>
        </w:rPr>
        <w:t>广西国力招标有限公司</w:t>
      </w:r>
      <w:r>
        <w:rPr>
          <w:rFonts w:hint="eastAsia" w:ascii="宋体" w:hAnsi="宋体"/>
          <w:color w:val="auto"/>
          <w:szCs w:val="21"/>
          <w:highlight w:val="none"/>
        </w:rPr>
        <w:t>在任何情况下无义务和责任承担此类费用。</w:t>
      </w:r>
    </w:p>
    <w:p w14:paraId="72F531E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49A62D3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磋商文件的澄清和修改：</w:t>
      </w:r>
    </w:p>
    <w:p w14:paraId="1D4079B1">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5.1供应商应认真阅读磋商文件，供应商认为采购文件使自己的权益受到损害的，供应商必须在获取竞争性磋商文件之日起7个工作日内，以书面形式向采购人、采购代理机构提出，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99F73BA">
      <w:pPr>
        <w:keepNext w:val="0"/>
        <w:keepLines w:val="0"/>
        <w:pageBreakBefore w:val="0"/>
        <w:widowControl/>
        <w:shd w:val="clear"/>
        <w:kinsoku/>
        <w:wordWrap w:val="0"/>
        <w:overflowPunct/>
        <w:topLinePunct w:val="0"/>
        <w:autoSpaceDE/>
        <w:autoSpaceDN/>
        <w:bidi w:val="0"/>
        <w:adjustRightInd/>
        <w:spacing w:line="380" w:lineRule="exact"/>
        <w:ind w:firstLine="420"/>
        <w:jc w:val="left"/>
        <w:textAlignment w:val="auto"/>
        <w:rPr>
          <w:rFonts w:hint="eastAsia" w:ascii="宋体" w:hAnsi="宋体" w:cs="Courier New"/>
          <w:color w:val="auto"/>
          <w:szCs w:val="21"/>
          <w:highlight w:val="none"/>
        </w:rPr>
      </w:pPr>
      <w:r>
        <w:rPr>
          <w:rFonts w:hint="eastAsia" w:ascii="宋体" w:hAnsi="宋体" w:cs="Courier New"/>
          <w:color w:val="auto"/>
          <w:szCs w:val="21"/>
          <w:highlight w:val="none"/>
        </w:rPr>
        <w:t>5.2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应当在提交首次响应文件截止时间5日前，以书面形式通知所有接收磋商文件的供应商，不足5日的，应当顺延提交首次响应文件截止之日。</w:t>
      </w:r>
    </w:p>
    <w:p w14:paraId="024862D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0"/>
          <w:highlight w:val="none"/>
        </w:rPr>
        <w:t>5.3磋商</w:t>
      </w:r>
      <w:r>
        <w:rPr>
          <w:rFonts w:hint="eastAsia" w:hAnsi="宋体"/>
          <w:color w:val="auto"/>
          <w:highlight w:val="none"/>
        </w:rPr>
        <w:t>供应商接电话通知后到采购代理机构处领取以上澄清答复（或补充通知、更改通知等），或在网上查询，如在电话通知后24小时内不上门领取的，则视为已在网上查询收到。该澄清或修改的内容为竞争性磋商文件的组成部分。磋商供应商在每一次收到澄清答复或补充通知后应立即以书面形式通知采购代理机构，确认已收到该澄清答复或补充通知。否则，由此造成的一切后果由磋商供应商负责。（电话通知时以磋商供应商购买竞争性磋商文件所留电话，如磋商供应商所留电话有误或打不通等造成的一切后果由磋商供应商负责）</w:t>
      </w:r>
    </w:p>
    <w:p w14:paraId="1D27CDB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二、竞争性磋商响应文件的编制</w:t>
      </w:r>
    </w:p>
    <w:p w14:paraId="7C03A3D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 竞争性磋商响应文件编制基本要求</w:t>
      </w:r>
    </w:p>
    <w:p w14:paraId="2918BFA1">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6.1磋商供应商对竞争性磋商响应文件的编制应按要求装订和封装。</w:t>
      </w:r>
    </w:p>
    <w:p w14:paraId="7E5B9C2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6.2磋商供应商提交的竞争性磋商响应文件以及磋商供应商与</w:t>
      </w:r>
      <w:r>
        <w:rPr>
          <w:rFonts w:hint="eastAsia" w:ascii="宋体" w:hAnsi="宋体" w:eastAsia="宋体" w:cs="Times New Roman"/>
          <w:color w:val="auto"/>
          <w:highlight w:val="none"/>
          <w:lang w:val="en-US" w:eastAsia="zh-CN"/>
        </w:rPr>
        <w:t>广西国力招标有限公司</w:t>
      </w:r>
      <w:r>
        <w:rPr>
          <w:rFonts w:hint="eastAsia" w:ascii="宋体" w:hAnsi="宋体"/>
          <w:color w:val="auto"/>
          <w:szCs w:val="21"/>
          <w:highlight w:val="none"/>
        </w:rPr>
        <w:t>和采购人就有关磋商的所有来往函电均应使用中文。磋商供应商提交的支持文件和印刷的文献可以使用别的语言，但其相应内容必须附有中文翻译文本，在解释竞争性磋商响应文件时以翻译文本为主。</w:t>
      </w:r>
    </w:p>
    <w:p w14:paraId="2EF0AF16">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6.3除技术要求中另有规定外，本文件所要求使用的计量单位均应采用国家法定计量单位。</w:t>
      </w:r>
    </w:p>
    <w:p w14:paraId="2FBAF4E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6.4磋商供应商应认真阅读、并充分理解本文件的全部内容（包括所有的</w:t>
      </w:r>
      <w:r>
        <w:rPr>
          <w:rFonts w:hint="eastAsia" w:ascii="宋体" w:hAnsi="宋体"/>
          <w:color w:val="auto"/>
          <w:highlight w:val="none"/>
        </w:rPr>
        <w:t>澄清、</w:t>
      </w:r>
      <w:r>
        <w:rPr>
          <w:rFonts w:hint="eastAsia" w:ascii="宋体" w:hAnsi="宋体"/>
          <w:color w:val="auto"/>
          <w:szCs w:val="21"/>
          <w:highlight w:val="none"/>
        </w:rPr>
        <w:t>更改、补充、答疑等内容），承诺并履行本文件中各项条款规定及要求。</w:t>
      </w:r>
    </w:p>
    <w:p w14:paraId="4EC609E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6.5竞争性磋商响应文件必须按本文件的全部内容，包括所有的</w:t>
      </w:r>
      <w:r>
        <w:rPr>
          <w:rFonts w:hint="eastAsia" w:ascii="宋体" w:hAnsi="宋体"/>
          <w:color w:val="auto"/>
          <w:highlight w:val="none"/>
        </w:rPr>
        <w:t>澄清、</w:t>
      </w:r>
      <w:r>
        <w:rPr>
          <w:rFonts w:hint="eastAsia" w:ascii="宋体" w:hAnsi="宋体"/>
          <w:color w:val="auto"/>
          <w:szCs w:val="21"/>
          <w:highlight w:val="none"/>
        </w:rPr>
        <w:t>更改、补充、答疑等内容及附件进行编制。</w:t>
      </w:r>
    </w:p>
    <w:p w14:paraId="395F0F3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6.6如因磋商供应商只填写和提供了本文件要求的部分内容和附件，而给磋商小组评审造成困难，其可能导致的结果和责任由磋商供应商自行承担。</w:t>
      </w:r>
    </w:p>
    <w:p w14:paraId="47FE69F5">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6.7竞争性磋商响应文件的组成：竞争性磋商响应文件应由价格文件和商务技术文件两个部分组成</w:t>
      </w:r>
      <w:r>
        <w:rPr>
          <w:rFonts w:hint="eastAsia" w:ascii="宋体" w:hAnsi="宋体" w:cs="Arial"/>
          <w:color w:val="auto"/>
          <w:szCs w:val="21"/>
          <w:highlight w:val="none"/>
        </w:rPr>
        <w:t>（要求装订成一本）</w:t>
      </w:r>
      <w:r>
        <w:rPr>
          <w:rFonts w:hint="eastAsia" w:ascii="宋体" w:hAnsi="宋体"/>
          <w:color w:val="auto"/>
          <w:szCs w:val="21"/>
          <w:highlight w:val="none"/>
        </w:rPr>
        <w:t>。</w:t>
      </w:r>
    </w:p>
    <w:p w14:paraId="69D99F6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6.7.1第一部分：价格文件</w:t>
      </w:r>
    </w:p>
    <w:p w14:paraId="0E4A419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t>1）报价表；（附件一）</w:t>
      </w:r>
      <w:r>
        <w:rPr>
          <w:rFonts w:hint="eastAsia" w:ascii="宋体" w:hAnsi="宋体"/>
          <w:b/>
          <w:color w:val="auto"/>
          <w:szCs w:val="21"/>
          <w:highlight w:val="none"/>
        </w:rPr>
        <w:t>[必须提供]</w:t>
      </w:r>
    </w:p>
    <w:p w14:paraId="49D103D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以上文件均须加盖磋商供应商单位公章；应该有的必须提供，如未提供，磋商小组有权拒绝其响应文件。</w:t>
      </w:r>
    </w:p>
    <w:p w14:paraId="234B17B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b/>
          <w:color w:val="auto"/>
          <w:szCs w:val="21"/>
          <w:highlight w:val="none"/>
        </w:rPr>
        <w:t>6.7.2 第二部分：商务技术文件</w:t>
      </w:r>
      <w:r>
        <w:rPr>
          <w:rFonts w:hint="eastAsia" w:ascii="宋体" w:hAnsi="宋体"/>
          <w:color w:val="auto"/>
          <w:szCs w:val="21"/>
          <w:highlight w:val="none"/>
        </w:rPr>
        <w:t>（以下文件要求必须提供的文件应加盖公章按要求提供，否则竞标无效。）</w:t>
      </w:r>
    </w:p>
    <w:p w14:paraId="368F7D79">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1）磋商书及磋商声明书；（附件二）</w:t>
      </w:r>
      <w:r>
        <w:rPr>
          <w:rFonts w:hint="eastAsia" w:ascii="宋体" w:hAnsi="宋体"/>
          <w:b/>
          <w:color w:val="auto"/>
          <w:szCs w:val="21"/>
          <w:highlight w:val="none"/>
        </w:rPr>
        <w:t>[必须提供]</w:t>
      </w:r>
    </w:p>
    <w:p w14:paraId="6C044E7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2）商务、服务响应、偏离情况说明表；（附件三）</w:t>
      </w:r>
      <w:r>
        <w:rPr>
          <w:rFonts w:hint="eastAsia" w:ascii="宋体" w:hAnsi="宋体"/>
          <w:b/>
          <w:color w:val="auto"/>
          <w:szCs w:val="21"/>
          <w:highlight w:val="none"/>
        </w:rPr>
        <w:t>[必须提供]</w:t>
      </w:r>
    </w:p>
    <w:p w14:paraId="03546A87">
      <w:pPr>
        <w:keepNext w:val="0"/>
        <w:keepLines w:val="0"/>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3）法定代表人身份证正、反面复印件；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5B23872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4）法定代表人授权委托书原件</w:t>
      </w:r>
      <w:r>
        <w:rPr>
          <w:rFonts w:hint="eastAsia" w:ascii="宋体" w:hAnsi="宋体"/>
          <w:color w:val="auto"/>
          <w:highlight w:val="none"/>
        </w:rPr>
        <w:t>和委托代理人身份证正、反面复印件</w:t>
      </w:r>
      <w:r>
        <w:rPr>
          <w:rFonts w:hint="eastAsia" w:ascii="宋体" w:hAnsi="宋体"/>
          <w:color w:val="auto"/>
          <w:szCs w:val="21"/>
          <w:highlight w:val="none"/>
        </w:rPr>
        <w:t>；（附件四）</w:t>
      </w:r>
      <w:r>
        <w:rPr>
          <w:rFonts w:hint="eastAsia" w:ascii="宋体" w:hAnsi="宋体"/>
          <w:b/>
          <w:color w:val="auto"/>
          <w:highlight w:val="none"/>
        </w:rPr>
        <w:t xml:space="preserve"> [委托代理时</w:t>
      </w:r>
      <w:r>
        <w:rPr>
          <w:rFonts w:hint="eastAsia" w:ascii="宋体" w:hAnsi="宋体"/>
          <w:b/>
          <w:bCs/>
          <w:color w:val="auto"/>
          <w:highlight w:val="none"/>
        </w:rPr>
        <w:t>必须提供</w:t>
      </w:r>
      <w:r>
        <w:rPr>
          <w:rFonts w:hint="eastAsia" w:ascii="宋体" w:hAnsi="宋体"/>
          <w:b/>
          <w:color w:val="auto"/>
          <w:highlight w:val="none"/>
        </w:rPr>
        <w:t>]</w:t>
      </w:r>
      <w:r>
        <w:rPr>
          <w:rFonts w:hint="eastAsia" w:ascii="宋体" w:hAnsi="宋体"/>
          <w:color w:val="auto"/>
          <w:szCs w:val="21"/>
          <w:highlight w:val="none"/>
        </w:rPr>
        <w:t xml:space="preserve">； </w:t>
      </w:r>
    </w:p>
    <w:p w14:paraId="6839D4C5">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5）有效的</w:t>
      </w:r>
      <w:r>
        <w:rPr>
          <w:rFonts w:hint="eastAsia" w:ascii="宋体" w:hAnsi="宋体"/>
          <w:color w:val="auto"/>
          <w:highlight w:val="none"/>
        </w:rPr>
        <w:t>主体资格</w:t>
      </w:r>
      <w:r>
        <w:rPr>
          <w:rFonts w:hint="eastAsia" w:ascii="宋体" w:hAnsi="宋体"/>
          <w:color w:val="auto"/>
          <w:szCs w:val="21"/>
          <w:highlight w:val="none"/>
        </w:rPr>
        <w:t>证明文件复印件；</w:t>
      </w:r>
    </w:p>
    <w:p w14:paraId="034D3F7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hAnsi="宋体"/>
          <w:b/>
          <w:color w:val="auto"/>
          <w:highlight w:val="none"/>
        </w:rPr>
      </w:pPr>
      <w:r>
        <w:rPr>
          <w:rFonts w:hint="eastAsia" w:hAnsi="宋体"/>
          <w:bCs/>
          <w:color w:val="auto"/>
          <w:highlight w:val="none"/>
        </w:rPr>
        <w:t>①</w:t>
      </w:r>
      <w:r>
        <w:rPr>
          <w:rFonts w:hint="eastAsia" w:hAnsi="宋体"/>
          <w:color w:val="auto"/>
          <w:highlight w:val="none"/>
        </w:rPr>
        <w:t>磋商供应商有效的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color w:val="auto"/>
          <w:highlight w:val="none"/>
        </w:rPr>
        <w:t>；</w:t>
      </w:r>
      <w:r>
        <w:rPr>
          <w:rFonts w:hint="eastAsia" w:hAnsi="宋体"/>
          <w:b/>
          <w:color w:val="auto"/>
          <w:highlight w:val="none"/>
        </w:rPr>
        <w:t xml:space="preserve">[必须提供] </w:t>
      </w:r>
    </w:p>
    <w:p w14:paraId="0DCC28E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hAnsi="宋体"/>
          <w:b/>
          <w:bCs/>
          <w:color w:val="auto"/>
          <w:highlight w:val="none"/>
        </w:rPr>
        <w:t>②</w:t>
      </w:r>
      <w:r>
        <w:rPr>
          <w:rFonts w:hint="eastAsia" w:hAnsi="宋体"/>
          <w:b/>
          <w:bCs/>
          <w:color w:val="auto"/>
          <w:highlight w:val="none"/>
          <w:lang w:val="en-US" w:eastAsia="zh-CN"/>
        </w:rPr>
        <w:t>磋商供应商</w:t>
      </w:r>
      <w:r>
        <w:rPr>
          <w:rFonts w:hint="eastAsia" w:ascii="宋体" w:hAnsi="宋体"/>
          <w:b/>
          <w:color w:val="auto"/>
          <w:highlight w:val="none"/>
          <w:lang w:val="en-US" w:eastAsia="zh-CN"/>
        </w:rPr>
        <w:t>在全国工程造价咨询管理系统中“企业基本情况”网页截图</w:t>
      </w:r>
      <w:r>
        <w:rPr>
          <w:rFonts w:hint="eastAsia" w:ascii="宋体" w:hAnsi="宋体"/>
          <w:b/>
          <w:color w:val="auto"/>
          <w:highlight w:val="none"/>
        </w:rPr>
        <w:t>，同时要加盖单位公章；</w:t>
      </w:r>
      <w:r>
        <w:rPr>
          <w:rFonts w:hint="eastAsia" w:ascii="宋体" w:hAnsi="宋体"/>
          <w:b/>
          <w:color w:val="auto"/>
          <w:szCs w:val="21"/>
          <w:highlight w:val="none"/>
        </w:rPr>
        <w:t>[必须提供]</w:t>
      </w:r>
    </w:p>
    <w:p w14:paraId="08F33EB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6）财务状况报告；[</w:t>
      </w:r>
      <w:r>
        <w:rPr>
          <w:rFonts w:hint="eastAsia" w:ascii="宋体" w:hAnsi="宋体"/>
          <w:b/>
          <w:color w:val="auto"/>
          <w:szCs w:val="21"/>
          <w:highlight w:val="none"/>
        </w:rPr>
        <w:t>格式自拟，</w:t>
      </w:r>
      <w:r>
        <w:rPr>
          <w:rFonts w:hint="eastAsia" w:ascii="宋体" w:hAnsi="宋体"/>
          <w:b/>
          <w:bCs/>
          <w:color w:val="auto"/>
          <w:szCs w:val="21"/>
          <w:highlight w:val="none"/>
        </w:rPr>
        <w:t>必须提供</w:t>
      </w:r>
      <w:r>
        <w:rPr>
          <w:rFonts w:hAnsi="宋体"/>
          <w:color w:val="auto"/>
          <w:highlight w:val="none"/>
        </w:rPr>
        <w:t>]</w:t>
      </w:r>
      <w:r>
        <w:rPr>
          <w:rFonts w:hint="eastAsia" w:ascii="宋体" w:hAnsi="宋体"/>
          <w:color w:val="auto"/>
          <w:szCs w:val="21"/>
          <w:highlight w:val="none"/>
        </w:rPr>
        <w:t xml:space="preserve"> </w:t>
      </w:r>
    </w:p>
    <w:p w14:paraId="27AD2080">
      <w:pPr>
        <w:keepNext w:val="0"/>
        <w:keepLines w:val="0"/>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7）响应文件递交截止之日前一年内磋商供应商</w:t>
      </w:r>
      <w:r>
        <w:rPr>
          <w:rFonts w:hint="eastAsia" w:ascii="宋体" w:hAnsi="宋体"/>
          <w:color w:val="auto"/>
          <w:szCs w:val="21"/>
          <w:highlight w:val="none"/>
          <w:lang w:eastAsia="zh-CN"/>
        </w:rPr>
        <w:t>任意一个</w:t>
      </w:r>
      <w:r>
        <w:rPr>
          <w:rFonts w:hint="eastAsia" w:ascii="宋体" w:hAnsi="宋体"/>
          <w:color w:val="auto"/>
          <w:szCs w:val="21"/>
          <w:highlight w:val="none"/>
        </w:rPr>
        <w:t xml:space="preserve">月的依法缴纳税费或依法免缴税费的证明复印件；无纳税记录的，应提供由磋商供应商所在地的税务部门出具的《依法纳税或依法免税证明》复印件； </w:t>
      </w:r>
      <w:r>
        <w:rPr>
          <w:rFonts w:hint="eastAsia" w:ascii="宋体" w:hAnsi="宋体"/>
          <w:b/>
          <w:color w:val="auto"/>
          <w:highlight w:val="none"/>
        </w:rPr>
        <w:t>（原件备查，必须提供，新成立单位按实际提供）</w:t>
      </w:r>
    </w:p>
    <w:p w14:paraId="3BC2208D">
      <w:pPr>
        <w:keepNext w:val="0"/>
        <w:keepLines w:val="0"/>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8）响应文件递交截止之日前一年内磋商供应商</w:t>
      </w:r>
      <w:r>
        <w:rPr>
          <w:rFonts w:hint="eastAsia" w:ascii="宋体" w:hAnsi="宋体"/>
          <w:color w:val="auto"/>
          <w:szCs w:val="21"/>
          <w:highlight w:val="none"/>
          <w:lang w:eastAsia="zh-CN"/>
        </w:rPr>
        <w:t>任意一个</w:t>
      </w:r>
      <w:r>
        <w:rPr>
          <w:rFonts w:hint="eastAsia" w:ascii="宋体" w:hAnsi="宋体"/>
          <w:color w:val="auto"/>
          <w:szCs w:val="21"/>
          <w:highlight w:val="none"/>
        </w:rPr>
        <w:t>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无缴费记录的，应提供由磋商供应商所在地社保部门出具的《依法缴纳或依法免缴社保费证明》复印件；</w:t>
      </w:r>
      <w:r>
        <w:rPr>
          <w:rFonts w:hint="eastAsia" w:ascii="宋体" w:hAnsi="宋体"/>
          <w:b/>
          <w:color w:val="auto"/>
          <w:highlight w:val="none"/>
        </w:rPr>
        <w:t>（原件备查，必须提供，新成立单位按实际提供）</w:t>
      </w:r>
    </w:p>
    <w:p w14:paraId="4B874974">
      <w:pPr>
        <w:keepNext w:val="0"/>
        <w:keepLines w:val="0"/>
        <w:pageBreakBefore w:val="0"/>
        <w:shd w:val="clear"/>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9）</w:t>
      </w:r>
      <w:r>
        <w:rPr>
          <w:rFonts w:ascii="宋体" w:hAnsi="宋体" w:cs="宋体"/>
          <w:color w:val="auto"/>
          <w:kern w:val="0"/>
          <w:szCs w:val="21"/>
          <w:highlight w:val="none"/>
        </w:rPr>
        <w:t>参加采购活动前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Arial" w:hAnsi="Arial" w:cs="Arial"/>
          <w:color w:val="auto"/>
          <w:kern w:val="0"/>
          <w:sz w:val="24"/>
          <w:highlight w:val="none"/>
        </w:rPr>
        <w:t>；</w:t>
      </w:r>
      <w:r>
        <w:rPr>
          <w:rFonts w:hint="eastAsia" w:ascii="宋体" w:hAnsi="宋体"/>
          <w:b/>
          <w:color w:val="auto"/>
          <w:szCs w:val="21"/>
          <w:highlight w:val="none"/>
        </w:rPr>
        <w:t>[格式自拟，必须提供]</w:t>
      </w:r>
    </w:p>
    <w:p w14:paraId="048218F6">
      <w:pPr>
        <w:keepNext w:val="0"/>
        <w:keepLines w:val="0"/>
        <w:pageBreakBefore w:val="0"/>
        <w:shd w:val="clear"/>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b/>
          <w:color w:val="auto"/>
          <w:szCs w:val="21"/>
          <w:highlight w:val="none"/>
        </w:rPr>
      </w:pPr>
      <w:r>
        <w:rPr>
          <w:rFonts w:hint="eastAsia" w:ascii="宋体" w:hAnsi="宋体"/>
          <w:bCs/>
          <w:color w:val="auto"/>
          <w:szCs w:val="21"/>
          <w:highlight w:val="none"/>
        </w:rPr>
        <w:t>10）</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cs="宋体"/>
          <w:color w:val="auto"/>
          <w:kern w:val="0"/>
          <w:szCs w:val="21"/>
          <w:highlight w:val="none"/>
        </w:rPr>
        <w:t>；</w:t>
      </w:r>
      <w:r>
        <w:rPr>
          <w:rFonts w:hint="eastAsia" w:ascii="宋体" w:hAnsi="宋体"/>
          <w:b/>
          <w:color w:val="auto"/>
          <w:szCs w:val="21"/>
          <w:highlight w:val="none"/>
        </w:rPr>
        <w:t>[格式自拟，必须提供]</w:t>
      </w:r>
    </w:p>
    <w:p w14:paraId="57680A25">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11）磋商保证金的提交凭证；</w:t>
      </w:r>
      <w:r>
        <w:rPr>
          <w:rFonts w:hint="eastAsia" w:ascii="宋体" w:hAnsi="宋体"/>
          <w:b/>
          <w:color w:val="auto"/>
          <w:highlight w:val="none"/>
        </w:rPr>
        <w:t>[必须提供，原件备查]</w:t>
      </w:r>
    </w:p>
    <w:p w14:paraId="0E0F128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12）本采购项目《采购需求》中要求必须提交的材料；</w:t>
      </w:r>
      <w:r>
        <w:rPr>
          <w:rFonts w:hint="eastAsia" w:ascii="宋体" w:hAnsi="宋体"/>
          <w:b/>
          <w:color w:val="auto"/>
          <w:highlight w:val="none"/>
        </w:rPr>
        <w:t>[如有规定，则必须提供]</w:t>
      </w:r>
    </w:p>
    <w:p w14:paraId="4B44D59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13）服务方案；</w:t>
      </w:r>
      <w:r>
        <w:rPr>
          <w:rFonts w:hint="eastAsia" w:ascii="宋体" w:hAnsi="宋体"/>
          <w:b/>
          <w:color w:val="auto"/>
          <w:szCs w:val="21"/>
          <w:highlight w:val="none"/>
        </w:rPr>
        <w:t>[</w:t>
      </w:r>
      <w:r>
        <w:rPr>
          <w:rFonts w:hint="eastAsia" w:ascii="宋体" w:hAnsi="宋体"/>
          <w:b/>
          <w:color w:val="auto"/>
          <w:highlight w:val="none"/>
        </w:rPr>
        <w:t>必须提供</w:t>
      </w:r>
      <w:r>
        <w:rPr>
          <w:rFonts w:hint="default" w:ascii="宋体" w:hAnsi="宋体"/>
          <w:b/>
          <w:color w:val="auto"/>
          <w:highlight w:val="none"/>
        </w:rPr>
        <w:t>，</w:t>
      </w:r>
      <w:r>
        <w:rPr>
          <w:rFonts w:hint="eastAsia" w:ascii="宋体" w:hAnsi="宋体"/>
          <w:b/>
          <w:color w:val="auto"/>
          <w:szCs w:val="21"/>
          <w:highlight w:val="none"/>
        </w:rPr>
        <w:t>格式自拟</w:t>
      </w:r>
      <w:r>
        <w:rPr>
          <w:rFonts w:ascii="宋体" w:hAnsi="宋体"/>
          <w:b/>
          <w:color w:val="auto"/>
          <w:highlight w:val="none"/>
        </w:rPr>
        <w:t>]</w:t>
      </w:r>
    </w:p>
    <w:p w14:paraId="14363AC8">
      <w:pPr>
        <w:keepNext w:val="0"/>
        <w:keepLines w:val="0"/>
        <w:pageBreakBefore w:val="0"/>
        <w:shd w:val="clear"/>
        <w:kinsoku/>
        <w:wordWrap w:val="0"/>
        <w:overflowPunct/>
        <w:topLinePunct w:val="0"/>
        <w:autoSpaceDE/>
        <w:autoSpaceDN/>
        <w:bidi w:val="0"/>
        <w:adjustRightInd/>
        <w:snapToGrid w:val="0"/>
        <w:spacing w:line="380" w:lineRule="exact"/>
        <w:ind w:firstLine="411" w:firstLineChars="196"/>
        <w:jc w:val="left"/>
        <w:textAlignment w:val="auto"/>
        <w:rPr>
          <w:rFonts w:hint="eastAsia" w:ascii="宋体" w:hAnsi="宋体"/>
          <w:color w:val="auto"/>
          <w:szCs w:val="21"/>
          <w:highlight w:val="none"/>
        </w:rPr>
      </w:pPr>
      <w:r>
        <w:rPr>
          <w:rFonts w:hint="eastAsia" w:ascii="宋体" w:hAnsi="宋体"/>
          <w:color w:val="auto"/>
          <w:szCs w:val="21"/>
          <w:highlight w:val="none"/>
        </w:rPr>
        <w:t>14）具备法律、行政法规规定的其他条件的证明材料</w:t>
      </w:r>
      <w:r>
        <w:rPr>
          <w:rFonts w:hint="eastAsia" w:ascii="宋体" w:hAnsi="宋体"/>
          <w:b/>
          <w:bCs/>
          <w:color w:val="auto"/>
          <w:szCs w:val="21"/>
          <w:highlight w:val="none"/>
        </w:rPr>
        <w:t>[如有规定，则必须提供]</w:t>
      </w:r>
      <w:r>
        <w:rPr>
          <w:rFonts w:hint="eastAsia" w:ascii="宋体" w:hAnsi="宋体"/>
          <w:b/>
          <w:color w:val="auto"/>
          <w:szCs w:val="21"/>
          <w:highlight w:val="none"/>
        </w:rPr>
        <w:t>；</w:t>
      </w:r>
    </w:p>
    <w:p w14:paraId="572BC95F">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15）项目实施人员一览表；</w:t>
      </w:r>
    </w:p>
    <w:p w14:paraId="2D89FC3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16）供应商对本项目的合理化建议和改进措施；</w:t>
      </w:r>
    </w:p>
    <w:p w14:paraId="768CAF9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w:t>
      </w:r>
      <w:r>
        <w:rPr>
          <w:rFonts w:hint="eastAsia" w:ascii="宋体"/>
          <w:color w:val="auto"/>
          <w:szCs w:val="21"/>
          <w:highlight w:val="none"/>
        </w:rPr>
        <w:t>中小企业声明函</w:t>
      </w:r>
      <w:r>
        <w:rPr>
          <w:rFonts w:hint="eastAsia" w:ascii="宋体" w:hAnsi="宋体"/>
          <w:color w:val="auto"/>
          <w:szCs w:val="21"/>
          <w:highlight w:val="none"/>
          <w:lang w:eastAsia="zh-CN"/>
        </w:rPr>
        <w:t>。</w:t>
      </w:r>
      <w:r>
        <w:rPr>
          <w:rFonts w:hint="eastAsia" w:ascii="宋体" w:hAnsi="宋体"/>
          <w:color w:val="auto"/>
          <w:szCs w:val="21"/>
          <w:highlight w:val="none"/>
        </w:rPr>
        <w:t>（附件五）</w:t>
      </w:r>
      <w:r>
        <w:rPr>
          <w:rFonts w:hint="eastAsia" w:ascii="宋体" w:hAnsi="宋体"/>
          <w:b/>
          <w:color w:val="auto"/>
          <w:highlight w:val="none"/>
        </w:rPr>
        <w:t>[</w:t>
      </w:r>
      <w:r>
        <w:rPr>
          <w:rFonts w:hint="eastAsia" w:ascii="宋体" w:hAnsi="宋体"/>
          <w:b/>
          <w:color w:val="auto"/>
          <w:highlight w:val="none"/>
          <w:lang w:val="en-US" w:eastAsia="zh-CN"/>
        </w:rPr>
        <w:t>如有请</w:t>
      </w:r>
      <w:r>
        <w:rPr>
          <w:rFonts w:hint="eastAsia" w:ascii="宋体" w:hAnsi="宋体"/>
          <w:b/>
          <w:color w:val="auto"/>
          <w:highlight w:val="none"/>
        </w:rPr>
        <w:t>提供]</w:t>
      </w:r>
    </w:p>
    <w:p w14:paraId="7B02555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三、报价要求</w:t>
      </w:r>
    </w:p>
    <w:p w14:paraId="44C8D9C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7.1对于本文件中未列明，而磋商供应商认为必需的费用也需列入总报价。在合同实施时，采购人将不予支付成交供应商没有列入的项目费用，并认为此项目的费用已包括在总报价中。</w:t>
      </w:r>
    </w:p>
    <w:p w14:paraId="584E604F">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7.2成交供应商负责本项目所需服务的提供、实施、售后服务等全部工作。</w:t>
      </w:r>
    </w:p>
    <w:p w14:paraId="4629A4ED">
      <w:pPr>
        <w:pStyle w:val="10"/>
        <w:keepNext w:val="0"/>
        <w:keepLines w:val="0"/>
        <w:pageBreakBefore w:val="0"/>
        <w:shd w:val="clear"/>
        <w:kinsoku/>
        <w:overflowPunct/>
        <w:topLinePunct w:val="0"/>
        <w:autoSpaceDE/>
        <w:autoSpaceDN/>
        <w:bidi w:val="0"/>
        <w:adjustRightInd/>
        <w:spacing w:line="380" w:lineRule="exact"/>
        <w:ind w:firstLine="420"/>
        <w:textAlignment w:val="auto"/>
        <w:rPr>
          <w:rFonts w:hint="eastAsia" w:hAnsi="宋体"/>
          <w:color w:val="auto"/>
          <w:highlight w:val="none"/>
        </w:rPr>
      </w:pPr>
      <w:r>
        <w:rPr>
          <w:rFonts w:hint="eastAsia" w:hAnsi="宋体"/>
          <w:color w:val="auto"/>
          <w:highlight w:val="none"/>
        </w:rPr>
        <w:t>7.3磋商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磋商供应商原因引起的报价失误，并在磋商时被接受，其后果由磋商供应商自负。</w:t>
      </w:r>
    </w:p>
    <w:p w14:paraId="73EE7CB9">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b/>
          <w:color w:val="auto"/>
          <w:highlight w:val="none"/>
        </w:rPr>
      </w:pPr>
      <w:r>
        <w:rPr>
          <w:rFonts w:hint="eastAsia" w:ascii="宋体" w:hAnsi="宋体" w:cs="Courier New"/>
          <w:b/>
          <w:color w:val="auto"/>
          <w:szCs w:val="21"/>
          <w:highlight w:val="none"/>
        </w:rPr>
        <w:t>7.4</w:t>
      </w:r>
      <w:r>
        <w:rPr>
          <w:rFonts w:hint="eastAsia"/>
          <w:b/>
          <w:color w:val="auto"/>
          <w:highlight w:val="none"/>
        </w:rPr>
        <w:t>磋商报价：供应商必须就所竞项目的全部内容作完整唯一报价，漏项报价的或有选择的或有条件的报价，其响应文件将视为无效。</w:t>
      </w:r>
    </w:p>
    <w:p w14:paraId="539E6FF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7.5磋商供应商在报价时应考虑各方面因素、各种风险和自己的承受能力。经磋商小组审核存在严重不合理、低于其企业成本的报价，有可能影响产品质量和不能诚信履约的，其报价将不予接受。</w:t>
      </w:r>
    </w:p>
    <w:p w14:paraId="311B812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7.6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7BBCD80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四、竞争性磋商响应文件有效期</w:t>
      </w:r>
    </w:p>
    <w:p w14:paraId="435F400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8.1自竞争性磋商响应文件递交截止日期后60日响应文件应保持有效。有效期不足的竞争性磋商响应文件将被拒绝。</w:t>
      </w:r>
    </w:p>
    <w:p w14:paraId="0D1FFC7E">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8.2在特殊情况下，采购代理机构可与磋商供应商协商延长竞争性磋商响应文件的有效期。</w:t>
      </w:r>
    </w:p>
    <w:p w14:paraId="5E6BD1E9">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8.3未成交的响应文件有效期内均应保持有效。</w:t>
      </w:r>
    </w:p>
    <w:p w14:paraId="4E453EB6">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8.4成交供应商的响应文件有效期自响应文件提交截止之日起至合同履行完毕止均应保持有效。</w:t>
      </w:r>
    </w:p>
    <w:p w14:paraId="46A6037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五、竞争性磋商响应文件书写及签名、盖章要求</w:t>
      </w:r>
    </w:p>
    <w:p w14:paraId="097BCEF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9.1竞争性磋商响应文件正本必须用不褪色的墨水书写或打印，修改处应由法定代表人或委托代理人签名和盖公章，否则将会在评审中按无效竞争性磋商响应文件处理。</w:t>
      </w:r>
    </w:p>
    <w:p w14:paraId="6AE00C3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9.2字迹潦草、表达不清或未按要求填写的竞争性磋商响应文件可能将被认定为无效的竞争性磋商响应文件。</w:t>
      </w:r>
    </w:p>
    <w:p w14:paraId="2F43E5D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Courier New"/>
          <w:color w:val="auto"/>
          <w:szCs w:val="21"/>
          <w:highlight w:val="none"/>
        </w:rPr>
      </w:pPr>
      <w:r>
        <w:rPr>
          <w:rFonts w:hint="eastAsia" w:ascii="宋体" w:hAnsi="宋体" w:cs="Courier New"/>
          <w:color w:val="auto"/>
          <w:szCs w:val="21"/>
          <w:highlight w:val="none"/>
        </w:rPr>
        <w:t>9.3竞争性磋商响应文件应由法定代表人或委托代理人在凡规定签章处逐一签名和盖公章，否则将会在评审中按无效竞争性磋商响应文件处理。</w:t>
      </w:r>
    </w:p>
    <w:p w14:paraId="4BF0997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六、竞争性磋商响应文件的份数、封装和递交</w:t>
      </w:r>
    </w:p>
    <w:p w14:paraId="3191A88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 竞争性磋商响应文件的份数和封装</w:t>
      </w:r>
    </w:p>
    <w:p w14:paraId="2BBCA05C">
      <w:pPr>
        <w:pStyle w:val="10"/>
        <w:keepNext w:val="0"/>
        <w:keepLines w:val="0"/>
        <w:pageBreakBefore w:val="0"/>
        <w:shd w:val="clear"/>
        <w:kinsoku/>
        <w:overflowPunct/>
        <w:topLinePunct w:val="0"/>
        <w:autoSpaceDE/>
        <w:autoSpaceDN/>
        <w:bidi w:val="0"/>
        <w:adjustRightInd/>
        <w:spacing w:line="380" w:lineRule="exact"/>
        <w:ind w:firstLine="420"/>
        <w:textAlignment w:val="auto"/>
        <w:rPr>
          <w:rFonts w:hint="eastAsia"/>
          <w:color w:val="auto"/>
          <w:highlight w:val="none"/>
        </w:rPr>
      </w:pPr>
      <w:r>
        <w:rPr>
          <w:rFonts w:hint="eastAsia"/>
          <w:color w:val="auto"/>
          <w:highlight w:val="none"/>
        </w:rPr>
        <w:t>10.1磋商供应商应将竞争性磋商响应文件中“价格文件”和“商务技术文件”</w:t>
      </w:r>
      <w:r>
        <w:rPr>
          <w:rFonts w:hint="eastAsia" w:hAnsi="宋体" w:cs="Arial"/>
          <w:color w:val="auto"/>
          <w:highlight w:val="none"/>
        </w:rPr>
        <w:t>装订成一本</w:t>
      </w:r>
      <w:r>
        <w:rPr>
          <w:rFonts w:hint="eastAsia"/>
          <w:color w:val="auto"/>
          <w:highlight w:val="none"/>
        </w:rPr>
        <w:t>（两文件相隔之间用封面标识，封面写明“价格文件”、“商务技术文件”字样）。</w:t>
      </w:r>
    </w:p>
    <w:p w14:paraId="0AEE59E7">
      <w:pPr>
        <w:pStyle w:val="10"/>
        <w:keepNext w:val="0"/>
        <w:keepLines w:val="0"/>
        <w:pageBreakBefore w:val="0"/>
        <w:shd w:val="clear"/>
        <w:kinsoku/>
        <w:overflowPunct/>
        <w:topLinePunct w:val="0"/>
        <w:autoSpaceDE/>
        <w:autoSpaceDN/>
        <w:bidi w:val="0"/>
        <w:adjustRightInd/>
        <w:spacing w:line="380" w:lineRule="exact"/>
        <w:ind w:firstLine="420"/>
        <w:textAlignment w:val="auto"/>
        <w:rPr>
          <w:rFonts w:hint="eastAsia" w:hAnsi="宋体"/>
          <w:color w:val="auto"/>
          <w:highlight w:val="none"/>
        </w:rPr>
      </w:pPr>
      <w:r>
        <w:rPr>
          <w:rFonts w:hint="eastAsia"/>
          <w:color w:val="auto"/>
          <w:highlight w:val="none"/>
        </w:rPr>
        <w:t>磋商供应商将竞争性磋商响应文件按正、副本分别装订成册，在每个正、副本封面上标明“正本”或“副本”，以及采购项目名称、采购项目编号、</w:t>
      </w:r>
      <w:r>
        <w:rPr>
          <w:rFonts w:hint="eastAsia"/>
          <w:bCs/>
          <w:color w:val="auto"/>
          <w:highlight w:val="none"/>
        </w:rPr>
        <w:t>所竞分标号（如有）</w:t>
      </w:r>
      <w:r>
        <w:rPr>
          <w:rFonts w:hint="eastAsia" w:hAnsi="宋体"/>
          <w:color w:val="auto"/>
          <w:highlight w:val="none"/>
        </w:rPr>
        <w:t>、</w:t>
      </w:r>
      <w:r>
        <w:rPr>
          <w:rFonts w:hint="eastAsia"/>
          <w:color w:val="auto"/>
          <w:highlight w:val="none"/>
        </w:rPr>
        <w:t>磋商供应商名称等内容。</w:t>
      </w:r>
      <w:r>
        <w:rPr>
          <w:rFonts w:hint="eastAsia" w:hAnsi="宋体"/>
          <w:color w:val="auto"/>
          <w:highlight w:val="none"/>
        </w:rPr>
        <w:t>副本可以使用已在指定位置签字盖章的正本的复印件（封面除外），一旦正本和副本不符，以正本为准。</w:t>
      </w:r>
    </w:p>
    <w:p w14:paraId="28CC1F99">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10.2竞争性磋商</w:t>
      </w:r>
      <w:r>
        <w:rPr>
          <w:rFonts w:hint="eastAsia"/>
          <w:color w:val="auto"/>
          <w:highlight w:val="none"/>
        </w:rPr>
        <w:t>响应文件份数：正本一份，副本四份。供应商在递交响应文件时，同时递交响应文件电子版。</w:t>
      </w:r>
    </w:p>
    <w:p w14:paraId="029F0E7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1）竞争性磋商</w:t>
      </w:r>
      <w:r>
        <w:rPr>
          <w:rFonts w:hint="eastAsia"/>
          <w:color w:val="auto"/>
          <w:highlight w:val="none"/>
        </w:rPr>
        <w:t>响应文件电子版份数：1份。</w:t>
      </w:r>
    </w:p>
    <w:p w14:paraId="1520494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color w:val="auto"/>
          <w:highlight w:val="none"/>
        </w:rPr>
      </w:pPr>
      <w:r>
        <w:rPr>
          <w:rFonts w:hint="eastAsia" w:ascii="宋体" w:hAnsi="宋体"/>
          <w:color w:val="auto"/>
          <w:szCs w:val="21"/>
          <w:highlight w:val="none"/>
        </w:rPr>
        <w:t>2）竞争性磋商</w:t>
      </w:r>
      <w:r>
        <w:rPr>
          <w:rFonts w:hint="eastAsia"/>
          <w:color w:val="auto"/>
          <w:highlight w:val="none"/>
        </w:rPr>
        <w:t>响应文件电子版形式：</w:t>
      </w:r>
      <w:r>
        <w:rPr>
          <w:rFonts w:hint="eastAsia" w:hAnsi="宋体"/>
          <w:b/>
          <w:bCs/>
          <w:color w:val="auto"/>
          <w:highlight w:val="none"/>
          <w:u w:val="none"/>
        </w:rPr>
        <w:t>签字盖章的</w:t>
      </w:r>
      <w:r>
        <w:rPr>
          <w:rFonts w:hint="eastAsia" w:hAnsi="宋体"/>
          <w:b/>
          <w:bCs/>
          <w:color w:val="auto"/>
          <w:highlight w:val="none"/>
          <w:u w:val="none"/>
          <w:lang w:val="en-US" w:eastAsia="zh-CN"/>
        </w:rPr>
        <w:t>全套响应文件</w:t>
      </w:r>
      <w:r>
        <w:rPr>
          <w:rFonts w:hint="eastAsia" w:hAnsi="宋体"/>
          <w:b/>
          <w:bCs/>
          <w:color w:val="auto"/>
          <w:highlight w:val="none"/>
          <w:u w:val="none"/>
        </w:rPr>
        <w:t>PDF扫描件</w:t>
      </w:r>
      <w:r>
        <w:rPr>
          <w:rFonts w:hint="eastAsia" w:hAnsi="宋体"/>
          <w:b/>
          <w:bCs/>
          <w:color w:val="auto"/>
          <w:highlight w:val="none"/>
          <w:u w:val="none"/>
          <w:lang w:val="en-US" w:eastAsia="zh-CN"/>
        </w:rPr>
        <w:t>、</w:t>
      </w:r>
      <w:r>
        <w:rPr>
          <w:rFonts w:hint="eastAsia" w:hAnsi="宋体"/>
          <w:b/>
          <w:bCs/>
          <w:color w:val="auto"/>
          <w:highlight w:val="none"/>
          <w:u w:val="none"/>
        </w:rPr>
        <w:t>可编辑的Word文档</w:t>
      </w:r>
      <w:r>
        <w:rPr>
          <w:rFonts w:hint="eastAsia" w:hAnsi="宋体"/>
          <w:b/>
          <w:bCs/>
          <w:color w:val="auto"/>
          <w:highlight w:val="none"/>
          <w:u w:val="none"/>
          <w:lang w:eastAsia="zh-CN"/>
        </w:rPr>
        <w:t>、</w:t>
      </w:r>
      <w:r>
        <w:rPr>
          <w:rFonts w:hint="eastAsia" w:hAnsi="宋体"/>
          <w:b/>
          <w:bCs/>
          <w:color w:val="auto"/>
          <w:highlight w:val="none"/>
          <w:u w:val="none"/>
        </w:rPr>
        <w:t>可编辑的Excel</w:t>
      </w:r>
      <w:r>
        <w:rPr>
          <w:rFonts w:hint="eastAsia" w:hAnsi="宋体"/>
          <w:b/>
          <w:bCs/>
          <w:color w:val="auto"/>
          <w:highlight w:val="none"/>
          <w:u w:val="none"/>
          <w:lang w:val="en-US" w:eastAsia="zh-CN"/>
        </w:rPr>
        <w:t>文件（如有）</w:t>
      </w:r>
      <w:r>
        <w:rPr>
          <w:rFonts w:hint="eastAsia"/>
          <w:color w:val="auto"/>
          <w:highlight w:val="none"/>
        </w:rPr>
        <w:t>。</w:t>
      </w:r>
    </w:p>
    <w:p w14:paraId="7FF4AB8B">
      <w:pPr>
        <w:keepNext w:val="0"/>
        <w:keepLines w:val="0"/>
        <w:pageBreakBefore w:val="0"/>
        <w:shd w:val="clear"/>
        <w:kinsoku/>
        <w:overflowPunct/>
        <w:topLinePunct w:val="0"/>
        <w:autoSpaceDE/>
        <w:autoSpaceDN/>
        <w:bidi w:val="0"/>
        <w:adjustRightInd/>
        <w:spacing w:line="380" w:lineRule="exact"/>
        <w:ind w:firstLine="420" w:firstLineChars="200"/>
        <w:textAlignment w:val="auto"/>
        <w:rPr>
          <w:color w:val="auto"/>
          <w:highlight w:val="none"/>
        </w:rPr>
      </w:pPr>
      <w:r>
        <w:rPr>
          <w:rFonts w:hint="eastAsia" w:ascii="宋体" w:hAnsi="宋体"/>
          <w:color w:val="auto"/>
          <w:szCs w:val="21"/>
          <w:highlight w:val="none"/>
        </w:rPr>
        <w:t>3）竞争性磋商</w:t>
      </w:r>
      <w:r>
        <w:rPr>
          <w:rFonts w:hint="eastAsia"/>
          <w:color w:val="auto"/>
          <w:highlight w:val="none"/>
        </w:rPr>
        <w:t>响应文件电子版密封方式：将响应文件电子版</w:t>
      </w:r>
      <w:r>
        <w:rPr>
          <w:rFonts w:hint="eastAsia" w:hAnsi="宋体"/>
          <w:color w:val="auto"/>
          <w:highlight w:val="none"/>
        </w:rPr>
        <w:t>U盘</w:t>
      </w:r>
      <w:r>
        <w:rPr>
          <w:rFonts w:hint="eastAsia"/>
          <w:color w:val="auto"/>
          <w:highlight w:val="none"/>
        </w:rPr>
        <w:t>与纸质版响应文件一并装入响应文件袋中。</w:t>
      </w:r>
    </w:p>
    <w:p w14:paraId="7A0ACC7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hAnsi="宋体"/>
          <w:color w:val="auto"/>
          <w:highlight w:val="none"/>
        </w:rPr>
      </w:pPr>
      <w:r>
        <w:rPr>
          <w:rFonts w:hint="eastAsia" w:ascii="宋体" w:hAnsi="宋体"/>
          <w:color w:val="auto"/>
          <w:szCs w:val="21"/>
          <w:highlight w:val="none"/>
        </w:rPr>
        <w:t>4）</w:t>
      </w:r>
      <w:r>
        <w:rPr>
          <w:rFonts w:hint="eastAsia" w:ascii="宋体" w:hAnsi="宋体"/>
          <w:b/>
          <w:color w:val="auto"/>
          <w:szCs w:val="21"/>
          <w:highlight w:val="none"/>
        </w:rPr>
        <w:t>磋商供应商必须按竞争性磋商文件要求的顺序自编目录及逐页标注连续页码装订成册，且竞争性磋商响应文件装订位置必须封边，不允许使用活页夹、拉杆夹、夹条等可能导致竞争性磋商响应文件散落或脱页的装订方式，否则将可能被磋商小组视为无效响应文件。</w:t>
      </w:r>
    </w:p>
    <w:p w14:paraId="0475734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10.3竞标文件袋上应写明：</w:t>
      </w:r>
    </w:p>
    <w:p w14:paraId="670AE415">
      <w:pPr>
        <w:keepNext w:val="0"/>
        <w:keepLines w:val="0"/>
        <w:pageBreakBefore w:val="0"/>
        <w:shd w:val="clear"/>
        <w:kinsoku/>
        <w:overflowPunct/>
        <w:topLinePunct w:val="0"/>
        <w:autoSpaceDE/>
        <w:autoSpaceDN/>
        <w:bidi w:val="0"/>
        <w:adjustRightInd/>
        <w:spacing w:line="380" w:lineRule="exact"/>
        <w:ind w:firstLine="630" w:firstLineChars="3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eastAsia="宋体" w:cs="Times New Roman"/>
          <w:color w:val="auto"/>
          <w:highlight w:val="none"/>
        </w:rPr>
        <w:t>采购代理机构：</w:t>
      </w:r>
    </w:p>
    <w:p w14:paraId="1F399329">
      <w:pPr>
        <w:keepNext w:val="0"/>
        <w:keepLines w:val="0"/>
        <w:pageBreakBefore w:val="0"/>
        <w:shd w:val="clear"/>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color w:val="auto"/>
          <w:szCs w:val="21"/>
          <w:highlight w:val="none"/>
        </w:rPr>
        <w:t>2）采购项目名称</w:t>
      </w:r>
      <w:r>
        <w:rPr>
          <w:rFonts w:hint="eastAsia" w:ascii="宋体" w:hAnsi="宋体"/>
          <w:bCs/>
          <w:color w:val="auto"/>
          <w:szCs w:val="21"/>
          <w:highlight w:val="none"/>
        </w:rPr>
        <w:t>：</w:t>
      </w:r>
    </w:p>
    <w:p w14:paraId="24C3B5CC">
      <w:pPr>
        <w:keepNext w:val="0"/>
        <w:keepLines w:val="0"/>
        <w:pageBreakBefore w:val="0"/>
        <w:shd w:val="clear"/>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bCs/>
          <w:color w:val="auto"/>
          <w:highlight w:val="none"/>
        </w:rPr>
        <w:t>3）</w:t>
      </w:r>
      <w:r>
        <w:rPr>
          <w:rFonts w:hint="eastAsia" w:ascii="宋体" w:hAnsi="宋体"/>
          <w:color w:val="auto"/>
          <w:szCs w:val="21"/>
          <w:highlight w:val="none"/>
        </w:rPr>
        <w:t>采购项目编号</w:t>
      </w:r>
      <w:r>
        <w:rPr>
          <w:rFonts w:hint="eastAsia" w:ascii="宋体" w:hAnsi="宋体"/>
          <w:bCs/>
          <w:color w:val="auto"/>
          <w:szCs w:val="21"/>
          <w:highlight w:val="none"/>
        </w:rPr>
        <w:t>：</w:t>
      </w:r>
    </w:p>
    <w:p w14:paraId="55C6BFED">
      <w:pPr>
        <w:keepNext w:val="0"/>
        <w:keepLines w:val="0"/>
        <w:pageBreakBefore w:val="0"/>
        <w:shd w:val="clear"/>
        <w:kinsoku/>
        <w:overflowPunct/>
        <w:topLinePunct w:val="0"/>
        <w:autoSpaceDE/>
        <w:autoSpaceDN/>
        <w:bidi w:val="0"/>
        <w:adjustRightInd/>
        <w:spacing w:line="380" w:lineRule="exact"/>
        <w:ind w:firstLine="630" w:firstLineChars="300"/>
        <w:textAlignment w:val="auto"/>
        <w:rPr>
          <w:rFonts w:hint="eastAsia"/>
          <w:bCs/>
          <w:color w:val="auto"/>
          <w:highlight w:val="none"/>
        </w:rPr>
      </w:pPr>
      <w:r>
        <w:rPr>
          <w:rFonts w:hint="eastAsia" w:ascii="宋体" w:hAnsi="宋体"/>
          <w:color w:val="auto"/>
          <w:szCs w:val="21"/>
          <w:highlight w:val="none"/>
        </w:rPr>
        <w:t>4）</w:t>
      </w:r>
      <w:r>
        <w:rPr>
          <w:rFonts w:hint="eastAsia"/>
          <w:bCs/>
          <w:color w:val="auto"/>
          <w:highlight w:val="none"/>
        </w:rPr>
        <w:t>所竞分标号（如有）：</w:t>
      </w:r>
    </w:p>
    <w:p w14:paraId="2D1D6278">
      <w:pPr>
        <w:keepNext w:val="0"/>
        <w:keepLines w:val="0"/>
        <w:pageBreakBefore w:val="0"/>
        <w:shd w:val="clear"/>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bCs/>
          <w:color w:val="auto"/>
          <w:szCs w:val="21"/>
          <w:highlight w:val="none"/>
        </w:rPr>
        <w:t>5）</w:t>
      </w:r>
      <w:r>
        <w:rPr>
          <w:rFonts w:hint="eastAsia" w:ascii="宋体" w:hAnsi="宋体"/>
          <w:color w:val="auto"/>
          <w:szCs w:val="21"/>
          <w:highlight w:val="none"/>
        </w:rPr>
        <w:t>磋商供应商名称</w:t>
      </w:r>
      <w:r>
        <w:rPr>
          <w:rFonts w:hint="eastAsia" w:ascii="宋体" w:hAnsi="宋体"/>
          <w:bCs/>
          <w:color w:val="auto"/>
          <w:szCs w:val="21"/>
          <w:highlight w:val="none"/>
        </w:rPr>
        <w:t>：</w:t>
      </w:r>
    </w:p>
    <w:p w14:paraId="1F7282B1">
      <w:pPr>
        <w:keepNext w:val="0"/>
        <w:keepLines w:val="0"/>
        <w:pageBreakBefore w:val="0"/>
        <w:shd w:val="clear"/>
        <w:kinsoku/>
        <w:overflowPunct/>
        <w:topLinePunct w:val="0"/>
        <w:autoSpaceDE/>
        <w:autoSpaceDN/>
        <w:bidi w:val="0"/>
        <w:adjustRightInd/>
        <w:spacing w:line="380" w:lineRule="exact"/>
        <w:ind w:firstLine="630" w:firstLineChars="300"/>
        <w:textAlignment w:val="auto"/>
        <w:rPr>
          <w:rFonts w:hint="eastAsia" w:ascii="宋体" w:hAnsi="宋体"/>
          <w:bCs/>
          <w:color w:val="auto"/>
          <w:szCs w:val="21"/>
          <w:highlight w:val="none"/>
        </w:rPr>
      </w:pPr>
      <w:r>
        <w:rPr>
          <w:rFonts w:hint="eastAsia" w:ascii="宋体" w:hAnsi="宋体"/>
          <w:bCs/>
          <w:color w:val="auto"/>
          <w:szCs w:val="21"/>
          <w:highlight w:val="none"/>
        </w:rPr>
        <w:t>6）（</w:t>
      </w:r>
      <w:r>
        <w:rPr>
          <w:rFonts w:hint="eastAsia"/>
          <w:color w:val="auto"/>
          <w:highlight w:val="none"/>
        </w:rPr>
        <w:t>××年××月××日××时××分前不得拆开</w:t>
      </w:r>
      <w:r>
        <w:rPr>
          <w:rFonts w:hint="eastAsia" w:ascii="宋体" w:hAnsi="宋体"/>
          <w:bCs/>
          <w:color w:val="auto"/>
          <w:szCs w:val="21"/>
          <w:highlight w:val="none"/>
        </w:rPr>
        <w:t>）</w:t>
      </w:r>
    </w:p>
    <w:p w14:paraId="5D2BC57C">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10.4竞争性磋商响应文件的密封以竞标文件袋无明显缝隙露出袋内文件且封口处有密封签章为合格。</w:t>
      </w:r>
    </w:p>
    <w:p w14:paraId="56B34D01">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10.5</w:t>
      </w:r>
      <w:r>
        <w:rPr>
          <w:rFonts w:hint="eastAsia" w:ascii="宋体" w:hAnsi="宋体"/>
          <w:b/>
          <w:bCs/>
          <w:color w:val="auto"/>
          <w:szCs w:val="21"/>
          <w:highlight w:val="none"/>
        </w:rPr>
        <w:t>磋商供应商在递交竞争性磋商响应文件时应按本须知要求密封。</w:t>
      </w:r>
    </w:p>
    <w:p w14:paraId="028EB74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 竞争性磋商响应文件的递交</w:t>
      </w:r>
    </w:p>
    <w:p w14:paraId="3955FB2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11.1竞争性磋商响应文件应于竞争性磋商文件中规定的时间前递交到指定地点位置。</w:t>
      </w:r>
    </w:p>
    <w:p w14:paraId="31B9210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11.2递交竞争性磋商响应文件的地点：见“供应商须知前附表”。</w:t>
      </w:r>
    </w:p>
    <w:p w14:paraId="335D061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12.迟交的竞争性磋商响应文件</w:t>
      </w:r>
    </w:p>
    <w:p w14:paraId="284F63D7">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按《政府采购法》的规定，逾期送达的或者未送达指定地点的竞争性磋商响应文件，采购代理机构拒绝接收。</w:t>
      </w:r>
    </w:p>
    <w:p w14:paraId="651E77D7">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七、磋商保证金</w:t>
      </w:r>
    </w:p>
    <w:p w14:paraId="5E22185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color w:val="auto"/>
          <w:szCs w:val="21"/>
          <w:highlight w:val="none"/>
        </w:rPr>
        <w:t>13.1</w:t>
      </w:r>
      <w:r>
        <w:rPr>
          <w:rFonts w:hint="eastAsia" w:hAnsi="宋体"/>
          <w:color w:val="auto"/>
          <w:highlight w:val="none"/>
        </w:rPr>
        <w:t>保证金应用人民币，</w:t>
      </w:r>
      <w:r>
        <w:rPr>
          <w:rFonts w:hint="eastAsia" w:ascii="宋体" w:hAnsi="宋体"/>
          <w:bCs/>
          <w:color w:val="auto"/>
          <w:szCs w:val="21"/>
          <w:highlight w:val="none"/>
        </w:rPr>
        <w:t>具体金额详见磋商供应商须知前附表。</w:t>
      </w:r>
    </w:p>
    <w:p w14:paraId="2F2CAD03">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color w:val="auto"/>
          <w:szCs w:val="21"/>
          <w:highlight w:val="none"/>
        </w:rPr>
        <w:t>13.2</w:t>
      </w:r>
      <w:r>
        <w:rPr>
          <w:rFonts w:hint="eastAsia" w:hAnsi="宋体"/>
          <w:color w:val="auto"/>
          <w:highlight w:val="none"/>
        </w:rPr>
        <w:t>保证金交纳方式：</w:t>
      </w:r>
      <w:r>
        <w:rPr>
          <w:rFonts w:hint="eastAsia" w:ascii="宋体" w:hAnsi="宋体"/>
          <w:color w:val="auto"/>
          <w:szCs w:val="21"/>
          <w:highlight w:val="none"/>
        </w:rPr>
        <w:t>银行转账、支票、汇票、本票或者银行、保险机构出具的保函</w:t>
      </w:r>
      <w:r>
        <w:rPr>
          <w:rFonts w:hint="eastAsia" w:ascii="宋体" w:hAnsi="宋体" w:cs="宋体"/>
          <w:color w:val="auto"/>
          <w:kern w:val="0"/>
          <w:szCs w:val="21"/>
          <w:highlight w:val="none"/>
        </w:rPr>
        <w:t>等非现金形式。</w:t>
      </w:r>
    </w:p>
    <w:p w14:paraId="130277C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13.3磋商供应商应按本采购项目竞争性磋商公告中明确的开户名称、开户银行、账号，于公告规定时间前将磋商保证金足额缴纳，并将</w:t>
      </w:r>
      <w:r>
        <w:rPr>
          <w:rFonts w:hint="eastAsia" w:ascii="宋体" w:hAnsi="宋体" w:cs="宋体"/>
          <w:b/>
          <w:color w:val="auto"/>
          <w:kern w:val="0"/>
          <w:szCs w:val="21"/>
          <w:highlight w:val="none"/>
        </w:rPr>
        <w:t>交款凭据复印件或</w:t>
      </w:r>
      <w:r>
        <w:rPr>
          <w:rFonts w:hint="eastAsia" w:ascii="宋体" w:hAnsi="宋体" w:cs="宋体"/>
          <w:b/>
          <w:color w:val="auto"/>
          <w:kern w:val="0"/>
          <w:szCs w:val="21"/>
          <w:highlight w:val="none"/>
          <w:lang w:val="en-US" w:eastAsia="zh-CN"/>
        </w:rPr>
        <w:t>广西国力招标有限公司财务部</w:t>
      </w:r>
      <w:r>
        <w:rPr>
          <w:rFonts w:hint="eastAsia" w:ascii="宋体" w:hAnsi="宋体" w:cs="宋体"/>
          <w:b/>
          <w:color w:val="auto"/>
          <w:kern w:val="0"/>
          <w:szCs w:val="21"/>
          <w:highlight w:val="none"/>
        </w:rPr>
        <w:t>为本项目出具的保证金交款收据复印件</w:t>
      </w:r>
      <w:r>
        <w:rPr>
          <w:rFonts w:hint="eastAsia" w:ascii="宋体" w:hAnsi="宋体" w:cs="宋体"/>
          <w:color w:val="auto"/>
          <w:kern w:val="0"/>
          <w:szCs w:val="21"/>
          <w:highlight w:val="none"/>
        </w:rPr>
        <w:t>按要求放入竞争性磋商响应文件中（磋商供应商应自行考虑磋商保证金到我公司账户时间）。</w:t>
      </w:r>
    </w:p>
    <w:p w14:paraId="23EE6ED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b/>
          <w:color w:val="auto"/>
          <w:szCs w:val="21"/>
          <w:highlight w:val="none"/>
        </w:rPr>
      </w:pPr>
      <w:r>
        <w:rPr>
          <w:rFonts w:hint="eastAsia" w:ascii="宋体" w:hAnsi="宋体"/>
          <w:color w:val="auto"/>
          <w:highlight w:val="none"/>
        </w:rPr>
        <w:t>13.4办理保证金手续时，请务必在银行相关票据（非现金）或凭证的用途或空白栏上注明采购项目名称及采购项目编号、分标号（如有），以免耽误竞争性磋商。</w:t>
      </w:r>
    </w:p>
    <w:p w14:paraId="7EF203B2">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hAnsi="宋体"/>
          <w:color w:val="auto"/>
          <w:highlight w:val="none"/>
        </w:rPr>
      </w:pPr>
      <w:r>
        <w:rPr>
          <w:rFonts w:hint="eastAsia" w:ascii="宋体" w:hAnsi="宋体"/>
          <w:b/>
          <w:color w:val="auto"/>
          <w:szCs w:val="21"/>
          <w:highlight w:val="none"/>
        </w:rPr>
        <w:t>13.5</w:t>
      </w:r>
      <w:r>
        <w:rPr>
          <w:rFonts w:hint="eastAsia" w:ascii="宋体" w:hAnsi="宋体"/>
          <w:b/>
          <w:color w:val="auto"/>
          <w:highlight w:val="none"/>
        </w:rPr>
        <w:t>磋</w:t>
      </w:r>
      <w:r>
        <w:rPr>
          <w:rFonts w:hint="eastAsia" w:hAnsi="宋体"/>
          <w:b/>
          <w:color w:val="auto"/>
          <w:highlight w:val="none"/>
        </w:rPr>
        <w:t>商供应商</w:t>
      </w:r>
      <w:r>
        <w:rPr>
          <w:rFonts w:hint="eastAsia" w:ascii="宋体" w:hAnsi="宋体"/>
          <w:b/>
          <w:color w:val="auto"/>
          <w:szCs w:val="21"/>
          <w:highlight w:val="none"/>
        </w:rPr>
        <w:t>在项目开标当天将保证金交纳凭证复印件壹份交到本公司财务室以便退款。</w:t>
      </w:r>
    </w:p>
    <w:p w14:paraId="0C03B11B">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Ansi="宋体"/>
          <w:color w:val="auto"/>
          <w:highlight w:val="none"/>
        </w:rPr>
      </w:pPr>
      <w:r>
        <w:rPr>
          <w:rFonts w:hint="eastAsia" w:ascii="宋体" w:hAnsi="宋体"/>
          <w:color w:val="auto"/>
          <w:szCs w:val="21"/>
          <w:highlight w:val="none"/>
        </w:rPr>
        <w:t>13.6</w:t>
      </w:r>
      <w:r>
        <w:rPr>
          <w:rFonts w:hint="eastAsia" w:hAnsi="宋体"/>
          <w:color w:val="auto"/>
          <w:highlight w:val="none"/>
        </w:rPr>
        <w:t>未成交磋商供应商的保证金，将在成交通知书发出后五个工作日内予以退还，不计利息。成交供应商</w:t>
      </w:r>
      <w:r>
        <w:rPr>
          <w:rFonts w:hint="eastAsia" w:ascii="宋体" w:hAnsi="宋体"/>
          <w:color w:val="auto"/>
          <w:szCs w:val="21"/>
          <w:highlight w:val="none"/>
        </w:rPr>
        <w:t>的保证金在合同签订后五个工作日内退还（</w:t>
      </w:r>
      <w:r>
        <w:rPr>
          <w:rFonts w:hint="eastAsia" w:ascii="宋体" w:hAnsi="宋体" w:eastAsia="宋体" w:cs="宋体"/>
          <w:b/>
          <w:color w:val="auto"/>
          <w:kern w:val="0"/>
          <w:szCs w:val="21"/>
          <w:highlight w:val="none"/>
        </w:rPr>
        <w:t>合同签订后送达至</w:t>
      </w:r>
      <w:r>
        <w:rPr>
          <w:rFonts w:hint="eastAsia" w:ascii="宋体" w:hAnsi="宋体" w:eastAsia="宋体" w:cs="宋体"/>
          <w:b/>
          <w:color w:val="auto"/>
          <w:kern w:val="0"/>
          <w:szCs w:val="21"/>
          <w:highlight w:val="none"/>
          <w:lang w:val="en-US" w:eastAsia="zh-CN"/>
        </w:rPr>
        <w:t>广西国力招标有限公司</w:t>
      </w:r>
      <w:r>
        <w:rPr>
          <w:rFonts w:hint="eastAsia" w:ascii="宋体" w:hAnsi="宋体"/>
          <w:color w:val="auto"/>
          <w:szCs w:val="21"/>
          <w:highlight w:val="none"/>
        </w:rPr>
        <w:t>），不计利息。</w:t>
      </w:r>
    </w:p>
    <w:p w14:paraId="01D5746B">
      <w:pPr>
        <w:keepNext w:val="0"/>
        <w:keepLines w:val="0"/>
        <w:pageBreakBefore w:val="0"/>
        <w:widowControl/>
        <w:shd w:val="clear"/>
        <w:kinsoku/>
        <w:overflowPunct/>
        <w:topLinePunct w:val="0"/>
        <w:autoSpaceDE/>
        <w:autoSpaceDN/>
        <w:bidi w:val="0"/>
        <w:adjustRightInd/>
        <w:spacing w:line="380" w:lineRule="exact"/>
        <w:ind w:firstLine="420" w:firstLineChars="200"/>
        <w:jc w:val="left"/>
        <w:textAlignment w:val="auto"/>
        <w:rPr>
          <w:rFonts w:hint="eastAsia" w:hAnsi="宋体"/>
          <w:color w:val="auto"/>
          <w:highlight w:val="none"/>
        </w:rPr>
      </w:pPr>
      <w:r>
        <w:rPr>
          <w:rFonts w:hint="eastAsia" w:ascii="宋体" w:hAnsi="宋体"/>
          <w:color w:val="auto"/>
          <w:szCs w:val="21"/>
          <w:highlight w:val="none"/>
        </w:rPr>
        <w:t>13.7</w:t>
      </w:r>
      <w:r>
        <w:rPr>
          <w:rFonts w:hint="eastAsia" w:hAnsi="宋体"/>
          <w:color w:val="auto"/>
          <w:highlight w:val="none"/>
        </w:rPr>
        <w:t>对未按本竞争性磋商文件要求交纳保证金的</w:t>
      </w:r>
      <w:r>
        <w:rPr>
          <w:rFonts w:hint="eastAsia" w:ascii="宋体" w:hAnsi="宋体"/>
          <w:color w:val="auto"/>
          <w:szCs w:val="21"/>
          <w:highlight w:val="none"/>
        </w:rPr>
        <w:t>竞争性磋商</w:t>
      </w:r>
      <w:r>
        <w:rPr>
          <w:rFonts w:hint="eastAsia" w:ascii="宋体" w:hAnsi="宋体"/>
          <w:color w:val="auto"/>
          <w:highlight w:val="none"/>
        </w:rPr>
        <w:t>响应文件</w:t>
      </w:r>
      <w:r>
        <w:rPr>
          <w:rFonts w:hint="eastAsia" w:hAnsi="宋体"/>
          <w:color w:val="auto"/>
          <w:highlight w:val="none"/>
        </w:rPr>
        <w:t>，</w:t>
      </w:r>
      <w:r>
        <w:rPr>
          <w:rFonts w:hint="eastAsia" w:ascii="宋体" w:hAnsi="宋体"/>
          <w:color w:val="auto"/>
          <w:highlight w:val="none"/>
        </w:rPr>
        <w:t>将会在评审中按照无效</w:t>
      </w:r>
      <w:r>
        <w:rPr>
          <w:rFonts w:hint="eastAsia" w:ascii="宋体" w:hAnsi="宋体"/>
          <w:color w:val="auto"/>
          <w:szCs w:val="21"/>
          <w:highlight w:val="none"/>
        </w:rPr>
        <w:t>竞争性磋商</w:t>
      </w:r>
      <w:r>
        <w:rPr>
          <w:rFonts w:hint="eastAsia" w:ascii="宋体" w:hAnsi="宋体"/>
          <w:color w:val="auto"/>
          <w:highlight w:val="none"/>
        </w:rPr>
        <w:t>响应文件处理</w:t>
      </w:r>
      <w:r>
        <w:rPr>
          <w:rFonts w:hint="eastAsia" w:hAnsi="宋体"/>
          <w:color w:val="auto"/>
          <w:highlight w:val="none"/>
        </w:rPr>
        <w:t>。（说明：评审时，磋商小组将以本公司财务室编制的《项目保证金到</w:t>
      </w:r>
      <w:r>
        <w:rPr>
          <w:rFonts w:hint="eastAsia" w:hAnsi="宋体"/>
          <w:color w:val="auto"/>
          <w:highlight w:val="none"/>
          <w:lang w:eastAsia="zh-CN"/>
        </w:rPr>
        <w:t>账</w:t>
      </w:r>
      <w:r>
        <w:rPr>
          <w:rFonts w:hint="eastAsia" w:hAnsi="宋体"/>
          <w:color w:val="auto"/>
          <w:highlight w:val="none"/>
        </w:rPr>
        <w:t>信息表》作为评审参考依据）</w:t>
      </w:r>
    </w:p>
    <w:p w14:paraId="3FCFA203">
      <w:pPr>
        <w:keepNext w:val="0"/>
        <w:keepLines w:val="0"/>
        <w:pageBreakBefore w:val="0"/>
        <w:shd w:val="clear"/>
        <w:kinsoku/>
        <w:overflowPunct/>
        <w:topLinePunct w:val="0"/>
        <w:autoSpaceDE/>
        <w:autoSpaceDN/>
        <w:bidi w:val="0"/>
        <w:adjustRightInd/>
        <w:snapToGrid w:val="0"/>
        <w:spacing w:line="380" w:lineRule="exact"/>
        <w:ind w:firstLine="411" w:firstLineChars="196"/>
        <w:jc w:val="left"/>
        <w:textAlignment w:val="auto"/>
        <w:rPr>
          <w:rFonts w:hint="eastAsia" w:ascii="宋体" w:hAnsi="宋体"/>
          <w:b/>
          <w:bCs/>
          <w:color w:val="auto"/>
          <w:szCs w:val="21"/>
          <w:highlight w:val="none"/>
        </w:rPr>
      </w:pPr>
      <w:r>
        <w:rPr>
          <w:rFonts w:hint="eastAsia" w:ascii="宋体" w:hAnsi="宋体"/>
          <w:bCs/>
          <w:color w:val="auto"/>
          <w:szCs w:val="21"/>
          <w:highlight w:val="none"/>
        </w:rPr>
        <w:t>13.8</w:t>
      </w:r>
      <w:r>
        <w:rPr>
          <w:rFonts w:hint="eastAsia" w:ascii="宋体" w:hAnsi="宋体" w:cs="宋体"/>
          <w:color w:val="auto"/>
          <w:kern w:val="0"/>
          <w:szCs w:val="21"/>
          <w:highlight w:val="none"/>
        </w:rPr>
        <w:t>供应商为联合体的，可以由联合体中的一方或者多方共同交纳保证金，其交纳的保证金对联合体各方均具有约束力。</w:t>
      </w:r>
    </w:p>
    <w:p w14:paraId="69EA174B">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bCs/>
          <w:color w:val="auto"/>
          <w:szCs w:val="21"/>
          <w:highlight w:val="none"/>
        </w:rPr>
      </w:pPr>
      <w:r>
        <w:rPr>
          <w:rFonts w:hint="eastAsia" w:ascii="宋体" w:hAnsi="宋体"/>
          <w:b/>
          <w:bCs/>
          <w:color w:val="auto"/>
          <w:szCs w:val="21"/>
          <w:highlight w:val="none"/>
        </w:rPr>
        <w:t>13.9磋商供应商有下列情形之一的，保证金将不予退还：</w:t>
      </w:r>
    </w:p>
    <w:p w14:paraId="24095C93">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1）磋商供应商在提交</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响应文件截止时间后撤回</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响应文件的；</w:t>
      </w:r>
    </w:p>
    <w:p w14:paraId="7825EF17">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2）磋商供应商在</w:t>
      </w:r>
      <w:r>
        <w:rPr>
          <w:rFonts w:hint="eastAsia" w:ascii="宋体" w:hAnsi="宋体"/>
          <w:color w:val="auto"/>
          <w:szCs w:val="21"/>
          <w:highlight w:val="none"/>
        </w:rPr>
        <w:t>竞争性磋商</w:t>
      </w:r>
      <w:r>
        <w:rPr>
          <w:rFonts w:hint="eastAsia" w:ascii="宋体" w:hAnsi="宋体" w:cs="宋体"/>
          <w:color w:val="auto"/>
          <w:kern w:val="0"/>
          <w:szCs w:val="21"/>
          <w:highlight w:val="none"/>
        </w:rPr>
        <w:t>响应文件中提供虚假材料的；</w:t>
      </w:r>
    </w:p>
    <w:p w14:paraId="7E55A13F">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3）除因不可抗力或</w:t>
      </w:r>
      <w:r>
        <w:rPr>
          <w:rFonts w:hint="eastAsia" w:ascii="宋体" w:hAnsi="宋体"/>
          <w:color w:val="auto"/>
          <w:szCs w:val="21"/>
          <w:highlight w:val="none"/>
        </w:rPr>
        <w:t>竞争性</w:t>
      </w:r>
      <w:r>
        <w:rPr>
          <w:rFonts w:hint="eastAsia" w:ascii="宋体" w:hAnsi="宋体" w:cs="宋体"/>
          <w:color w:val="auto"/>
          <w:kern w:val="0"/>
          <w:szCs w:val="21"/>
          <w:highlight w:val="none"/>
        </w:rPr>
        <w:t>磋商文件认可的情形以外，成交供应商不与采购人签订合同的；</w:t>
      </w:r>
    </w:p>
    <w:p w14:paraId="3104DBC7">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4）磋商供应商与采购人、其他供应商或者采购代理机构恶意串通的</w:t>
      </w:r>
      <w:r>
        <w:rPr>
          <w:rFonts w:hint="eastAsia" w:ascii="宋体" w:hAnsi="宋体" w:cs="宋体"/>
          <w:color w:val="auto"/>
          <w:kern w:val="0"/>
          <w:szCs w:val="21"/>
          <w:highlight w:val="none"/>
          <w:lang w:eastAsia="zh-CN"/>
        </w:rPr>
        <w:t>；</w:t>
      </w:r>
    </w:p>
    <w:p w14:paraId="5C71EDDB">
      <w:pPr>
        <w:keepNext w:val="0"/>
        <w:keepLines w:val="0"/>
        <w:pageBreakBefore w:val="0"/>
        <w:shd w:val="clear"/>
        <w:tabs>
          <w:tab w:val="left" w:pos="975"/>
        </w:tabs>
        <w:kinsoku/>
        <w:overflowPunct/>
        <w:topLinePunct w:val="0"/>
        <w:autoSpaceDE/>
        <w:autoSpaceDN/>
        <w:bidi w:val="0"/>
        <w:adjustRightInd/>
        <w:snapToGrid w:val="0"/>
        <w:spacing w:line="380" w:lineRule="exact"/>
        <w:ind w:firstLine="411" w:firstLineChars="196"/>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58C6AA72">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磋商供应商</w:t>
      </w:r>
      <w:r>
        <w:rPr>
          <w:rFonts w:hint="eastAsia" w:hAnsi="宋体"/>
          <w:b/>
          <w:color w:val="auto"/>
          <w:highlight w:val="none"/>
        </w:rPr>
        <w:t>已经被推荐为第一成交候选供应商后撤回</w:t>
      </w:r>
      <w:r>
        <w:rPr>
          <w:rFonts w:hint="eastAsia" w:ascii="宋体" w:hAnsi="宋体"/>
          <w:b/>
          <w:color w:val="auto"/>
          <w:szCs w:val="21"/>
          <w:highlight w:val="none"/>
        </w:rPr>
        <w:t>竞争性磋商</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拒绝签订采购合同的</w:t>
      </w:r>
      <w:r>
        <w:rPr>
          <w:rFonts w:hint="eastAsia" w:hAnsi="宋体"/>
          <w:b/>
          <w:color w:val="auto"/>
          <w:highlight w:val="none"/>
        </w:rPr>
        <w:t>，</w:t>
      </w:r>
      <w:r>
        <w:rPr>
          <w:rFonts w:hint="eastAsia"/>
          <w:b/>
          <w:color w:val="auto"/>
          <w:highlight w:val="none"/>
        </w:rPr>
        <w:t>其保证金将不予退还，给采购人造成损失的，还应当赔偿损失，并作为不良行为记录在案</w:t>
      </w:r>
      <w:r>
        <w:rPr>
          <w:rFonts w:hint="eastAsia" w:hAnsi="宋体"/>
          <w:b/>
          <w:color w:val="auto"/>
          <w:highlight w:val="none"/>
        </w:rPr>
        <w:t>。</w:t>
      </w:r>
    </w:p>
    <w:p w14:paraId="623457C6">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b/>
          <w:color w:val="auto"/>
          <w:highlight w:val="none"/>
        </w:rPr>
      </w:pPr>
      <w:r>
        <w:rPr>
          <w:rFonts w:hint="eastAsia" w:ascii="宋体" w:hAnsi="宋体"/>
          <w:b/>
          <w:color w:val="auto"/>
          <w:szCs w:val="21"/>
          <w:highlight w:val="none"/>
        </w:rPr>
        <w:t>八</w:t>
      </w:r>
      <w:r>
        <w:rPr>
          <w:rFonts w:hint="eastAsia"/>
          <w:b/>
          <w:color w:val="auto"/>
          <w:highlight w:val="none"/>
        </w:rPr>
        <w:t>、磋商程序</w:t>
      </w:r>
      <w:r>
        <w:rPr>
          <w:rFonts w:hint="eastAsia" w:ascii="宋体" w:hAnsi="宋体"/>
          <w:b/>
          <w:color w:val="auto"/>
          <w:szCs w:val="21"/>
          <w:highlight w:val="none"/>
        </w:rPr>
        <w:t>及</w:t>
      </w:r>
      <w:r>
        <w:rPr>
          <w:rFonts w:hint="eastAsia"/>
          <w:b/>
          <w:color w:val="auto"/>
          <w:highlight w:val="none"/>
        </w:rPr>
        <w:t>评标方法</w:t>
      </w:r>
    </w:p>
    <w:p w14:paraId="2F8831EA">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b/>
          <w:color w:val="auto"/>
          <w:highlight w:val="none"/>
        </w:rPr>
      </w:pPr>
      <w:r>
        <w:rPr>
          <w:rFonts w:hint="eastAsia"/>
          <w:b/>
          <w:color w:val="auto"/>
          <w:highlight w:val="none"/>
        </w:rPr>
        <w:t>（一）竞争性磋商响应文件无效的情形：</w:t>
      </w:r>
    </w:p>
    <w:p w14:paraId="522A0B49">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eastAsia="宋体"/>
          <w:b/>
          <w:color w:val="auto"/>
          <w:highlight w:val="none"/>
          <w:lang w:eastAsia="zh-CN"/>
        </w:rPr>
      </w:pPr>
      <w:r>
        <w:rPr>
          <w:rFonts w:hint="eastAsia"/>
          <w:b/>
          <w:color w:val="auto"/>
          <w:highlight w:val="none"/>
        </w:rPr>
        <w:t>1.未</w:t>
      </w:r>
      <w:r>
        <w:rPr>
          <w:rFonts w:hint="eastAsia" w:ascii="宋体" w:hAnsi="宋体"/>
          <w:b/>
          <w:color w:val="auto"/>
          <w:highlight w:val="none"/>
        </w:rPr>
        <w:t>实质性响应竞争性磋商文件的竞争性磋商响应文件按无效处理</w:t>
      </w:r>
      <w:r>
        <w:rPr>
          <w:rFonts w:hint="eastAsia" w:ascii="宋体" w:hAnsi="宋体"/>
          <w:b/>
          <w:color w:val="auto"/>
          <w:highlight w:val="none"/>
          <w:lang w:eastAsia="zh-CN"/>
        </w:rPr>
        <w:t>；</w:t>
      </w:r>
    </w:p>
    <w:p w14:paraId="276BA3C6">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2.有下列情形之一的视为供应商相互串通参与磋商活动，竞争性磋商响应文件将被视为无效：</w:t>
      </w:r>
    </w:p>
    <w:p w14:paraId="24261E0E">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（1）不同供应商的竞争性磋商响应文件由同一单位或者个人编制；或不同供应商报名的IP地址一致的；</w:t>
      </w:r>
    </w:p>
    <w:p w14:paraId="50954222">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（2）不同供应商委托同一单位或者个人办理磋商活动事宜；</w:t>
      </w:r>
    </w:p>
    <w:p w14:paraId="2E084AAC">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（3）不同的供应商的竞争性磋商响应文件载明的项目管理员或者联系人员为同一个人；</w:t>
      </w:r>
    </w:p>
    <w:p w14:paraId="3D217503">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（4）不同供应商的竞争性磋商响应文件异常一致或磋商报价呈规律性差异；</w:t>
      </w:r>
    </w:p>
    <w:p w14:paraId="758B3001">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（5）不同供应商的竞争性磋商响应文件相互混装；</w:t>
      </w:r>
    </w:p>
    <w:p w14:paraId="33A76E23">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（6）不同供应商的保证金从同一单位或者个人账户转出。</w:t>
      </w:r>
    </w:p>
    <w:p w14:paraId="77C77FD5">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3.有下列情形之一的视为关联供应商参加同一合同项下采购活动，竞争性磋商响应文件将被视为无效：</w:t>
      </w:r>
    </w:p>
    <w:p w14:paraId="4EF0A99A">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（1）单位负责人为同一人或者存在直接控股、管理关系的不同供应商，参加同一合同项下采购活动；</w:t>
      </w:r>
    </w:p>
    <w:p w14:paraId="31275E8B">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b/>
          <w:color w:val="auto"/>
          <w:highlight w:val="none"/>
        </w:rPr>
      </w:pPr>
      <w:r>
        <w:rPr>
          <w:rFonts w:hint="eastAsia" w:ascii="宋体" w:hAnsi="宋体"/>
          <w:b/>
          <w:color w:val="auto"/>
          <w:highlight w:val="none"/>
        </w:rPr>
        <w:t>（2）生产厂商授权给供应商后又参加同一合同项下的采购活动；生产厂商对同一品牌同一型号的货物委托多个代理商参加磋商活动。</w:t>
      </w:r>
    </w:p>
    <w:p w14:paraId="79BD77AE">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ascii="宋体" w:hAnsi="宋体"/>
          <w:b/>
          <w:color w:val="auto"/>
          <w:highlight w:val="none"/>
        </w:rPr>
      </w:pPr>
      <w:r>
        <w:rPr>
          <w:rFonts w:hint="eastAsia" w:ascii="宋体" w:hAnsi="宋体"/>
          <w:b/>
          <w:color w:val="auto"/>
          <w:highlight w:val="none"/>
        </w:rPr>
        <w:t>4.被拒绝的响应文件为无效。</w:t>
      </w:r>
    </w:p>
    <w:p w14:paraId="26231459">
      <w:pPr>
        <w:keepNext w:val="0"/>
        <w:keepLines w:val="0"/>
        <w:pageBreakBefore w:val="0"/>
        <w:shd w:val="clear"/>
        <w:tabs>
          <w:tab w:val="left" w:pos="975"/>
        </w:tabs>
        <w:kinsoku/>
        <w:overflowPunct/>
        <w:topLinePunct w:val="0"/>
        <w:autoSpaceDE/>
        <w:autoSpaceDN/>
        <w:bidi w:val="0"/>
        <w:adjustRightInd/>
        <w:snapToGrid w:val="0"/>
        <w:spacing w:line="380" w:lineRule="exact"/>
        <w:ind w:firstLine="412" w:firstLineChars="196"/>
        <w:jc w:val="left"/>
        <w:textAlignment w:val="auto"/>
        <w:rPr>
          <w:rFonts w:hint="eastAsia" w:ascii="宋体" w:hAnsi="宋体" w:cs="宋体"/>
          <w:b/>
          <w:color w:val="auto"/>
          <w:kern w:val="0"/>
          <w:szCs w:val="21"/>
          <w:highlight w:val="none"/>
        </w:rPr>
      </w:pPr>
      <w:r>
        <w:rPr>
          <w:rFonts w:ascii="宋体" w:hAnsi="宋体" w:cs="宋体"/>
          <w:b/>
          <w:color w:val="auto"/>
          <w:kern w:val="0"/>
          <w:szCs w:val="21"/>
          <w:highlight w:val="none"/>
        </w:rPr>
        <w:t>5</w:t>
      </w:r>
      <w:r>
        <w:rPr>
          <w:rFonts w:hint="eastAsia" w:ascii="宋体" w:hAnsi="宋体" w:cs="宋体"/>
          <w:b/>
          <w:color w:val="auto"/>
          <w:kern w:val="0"/>
          <w:szCs w:val="21"/>
          <w:highlight w:val="none"/>
        </w:rPr>
        <w:t>.磋商供应商竞争性磋商响应文件无效的，磋商小组应当告知有关供应商。</w:t>
      </w:r>
    </w:p>
    <w:p w14:paraId="025DA154">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（二）磋商</w:t>
      </w:r>
    </w:p>
    <w:p w14:paraId="20F68046">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14.1第一轮磋商</w:t>
      </w:r>
    </w:p>
    <w:p w14:paraId="52377EC6">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磋商时间及地点：详见本须知前附表第9项规定。</w:t>
      </w:r>
    </w:p>
    <w:p w14:paraId="1088391D">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olor w:val="auto"/>
          <w:szCs w:val="21"/>
          <w:highlight w:val="none"/>
        </w:rPr>
        <w:t>磋商小组对竞争性磋商响应文件进行资格性审查，依据竞争性磋商文件对已通过资格性审核的各竞争性磋商响应文件进行书面评审，审查竞争性磋商响应文件是否实质上响应了竞争性磋商文件的要求，在评审后由磋商小组组长主持，归纳各专家审核意见，形成磋商要点。磋商小组依据磋商要点，所有成员集中与单一</w:t>
      </w:r>
      <w:r>
        <w:rPr>
          <w:rFonts w:hint="eastAsia" w:ascii="宋体" w:hAnsi="宋体"/>
          <w:bCs/>
          <w:color w:val="auto"/>
          <w:szCs w:val="21"/>
          <w:highlight w:val="none"/>
        </w:rPr>
        <w:t>供应商分别</w:t>
      </w:r>
      <w:r>
        <w:rPr>
          <w:rFonts w:hint="eastAsia" w:ascii="宋体" w:hAnsi="宋体"/>
          <w:color w:val="auto"/>
          <w:szCs w:val="21"/>
          <w:highlight w:val="none"/>
        </w:rPr>
        <w:t>进行磋商，</w:t>
      </w:r>
      <w:r>
        <w:rPr>
          <w:rFonts w:hint="eastAsia" w:ascii="宋体" w:hAnsi="宋体" w:cs="宋体"/>
          <w:color w:val="auto"/>
          <w:kern w:val="0"/>
          <w:szCs w:val="21"/>
          <w:highlight w:val="none"/>
        </w:rPr>
        <w:t>给予所有参加磋商的供应商平等的磋商机会。</w:t>
      </w:r>
    </w:p>
    <w:p w14:paraId="34058DC7">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磋商评审在严格保密的情况下进行，磋商的任何一方不得透露与磋商有关的其他供应商的技术资料、价格和其他信息。本公司对磋商过程和重要磋商内容进行记录，磋商双方在记录上签字确认。</w:t>
      </w:r>
    </w:p>
    <w:p w14:paraId="75E459B4">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磋商后，供应商根据磋商小组统一整理的书面磋商记录要求做出书面承诺，并由其法定代表人(负责人)或授权代表签字或者加盖公章</w:t>
      </w:r>
      <w:r>
        <w:rPr>
          <w:rFonts w:hint="eastAsia" w:ascii="宋体" w:hAnsi="宋体" w:cs="宋体"/>
          <w:color w:val="auto"/>
          <w:kern w:val="0"/>
          <w:szCs w:val="21"/>
          <w:highlight w:val="none"/>
        </w:rPr>
        <w:t>后按时密封递交</w:t>
      </w:r>
      <w:r>
        <w:rPr>
          <w:rFonts w:hint="eastAsia" w:ascii="宋体" w:hAnsi="宋体"/>
          <w:color w:val="auto"/>
          <w:szCs w:val="21"/>
          <w:highlight w:val="none"/>
        </w:rPr>
        <w:t>。</w:t>
      </w:r>
    </w:p>
    <w:p w14:paraId="26FED64E">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当磋商小组一致确定供应商的竞争性磋商响应文件符合竞争性磋商文件要求，无需再磋商的，磋商小组按竞争性磋商文件设定的14.4、14.6程序和</w:t>
      </w:r>
      <w:r>
        <w:rPr>
          <w:rFonts w:hint="eastAsia"/>
          <w:color w:val="auto"/>
          <w:highlight w:val="none"/>
        </w:rPr>
        <w:t>评标</w:t>
      </w:r>
      <w:r>
        <w:rPr>
          <w:rFonts w:hint="eastAsia" w:ascii="宋体" w:hAnsi="宋体"/>
          <w:color w:val="auto"/>
          <w:szCs w:val="21"/>
          <w:highlight w:val="none"/>
        </w:rPr>
        <w:t>方法确定成交候选供应商。第一轮磋商后竞争性磋商文件有实质性变动或仍需磋商的，磋商小组对竞争性磋商文件变动或提出磋商意见后进行第二轮磋商。</w:t>
      </w:r>
    </w:p>
    <w:p w14:paraId="35287A11">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14.2竞争性磋商文件变动</w:t>
      </w:r>
    </w:p>
    <w:p w14:paraId="52742394">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第一轮磋商结束后，各响应供应商退场等候，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79675DAC">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对竞争性磋商文件作出的实质性变动是竞争性磋商文件的有效组成部分，磋商小组应当及时以书面形式同时通知所有参加磋商的供应商，并要求供应商做出书面响应。</w:t>
      </w:r>
    </w:p>
    <w:p w14:paraId="7D98D1D7">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（2）供应商应当按照竞争性磋商文件的变动情况和磋商小组的要求重新提交竞争性磋商响应文件，并由其法定代表人或授权代表签字或者加盖公章</w:t>
      </w:r>
      <w:r>
        <w:rPr>
          <w:rFonts w:hint="eastAsia" w:ascii="宋体" w:hAnsi="宋体" w:cs="宋体"/>
          <w:color w:val="auto"/>
          <w:kern w:val="0"/>
          <w:szCs w:val="21"/>
          <w:highlight w:val="none"/>
        </w:rPr>
        <w:t>后密封递交</w:t>
      </w:r>
      <w:r>
        <w:rPr>
          <w:rFonts w:hint="eastAsia" w:ascii="宋体" w:hAnsi="宋体"/>
          <w:color w:val="auto"/>
          <w:szCs w:val="21"/>
          <w:highlight w:val="none"/>
        </w:rPr>
        <w:t>。由授权代表（委托代理人）签字的，应当附法定代表人授权书。供应商为自然人的，应当由本人签字并附身份证明。逾时不交的，视同放弃磋商。重新提交的响应文件与竞争性磋商响应文件同具法律效力。</w:t>
      </w:r>
    </w:p>
    <w:p w14:paraId="0B0F2AA0">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14.3第二轮磋商</w:t>
      </w:r>
    </w:p>
    <w:p w14:paraId="4E2C2D0D">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磋商小组集中就</w:t>
      </w:r>
      <w:r>
        <w:rPr>
          <w:rFonts w:hint="eastAsia" w:ascii="宋体" w:hAnsi="宋体"/>
          <w:color w:val="auto"/>
          <w:szCs w:val="21"/>
          <w:highlight w:val="none"/>
        </w:rPr>
        <w:t>重新提交的响应文件或</w:t>
      </w:r>
      <w:r>
        <w:rPr>
          <w:rFonts w:hint="eastAsia" w:ascii="宋体" w:hAnsi="宋体" w:cs="宋体"/>
          <w:color w:val="auto"/>
          <w:kern w:val="0"/>
          <w:szCs w:val="21"/>
          <w:highlight w:val="none"/>
        </w:rPr>
        <w:t>磋商小组</w:t>
      </w:r>
      <w:r>
        <w:rPr>
          <w:rFonts w:hint="eastAsia" w:ascii="宋体" w:hAnsi="宋体"/>
          <w:color w:val="auto"/>
          <w:szCs w:val="21"/>
          <w:highlight w:val="none"/>
        </w:rPr>
        <w:t>提出的磋商意见</w:t>
      </w:r>
      <w:r>
        <w:rPr>
          <w:rFonts w:hint="eastAsia" w:ascii="宋体" w:hAnsi="宋体" w:cs="宋体"/>
          <w:color w:val="auto"/>
          <w:kern w:val="0"/>
          <w:szCs w:val="21"/>
          <w:highlight w:val="none"/>
        </w:rPr>
        <w:t>与单一响应供应商分别进行磋商。</w:t>
      </w:r>
      <w:r>
        <w:rPr>
          <w:rFonts w:hint="eastAsia" w:ascii="宋体" w:hAnsi="宋体"/>
          <w:color w:val="auto"/>
          <w:szCs w:val="21"/>
          <w:highlight w:val="none"/>
        </w:rPr>
        <w:t>本公司对磋商过程和重要磋商内容进行记录，磋商双方在记录上签字确认。</w:t>
      </w:r>
    </w:p>
    <w:p w14:paraId="0263A9C7">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磋商后，供应商根据磋商小组统一整理的书面磋商记录要求做出书面承诺，并由其法定代表人或授权代表签字或者加盖公章</w:t>
      </w:r>
      <w:r>
        <w:rPr>
          <w:rFonts w:hint="eastAsia" w:ascii="宋体" w:hAnsi="宋体" w:cs="宋体"/>
          <w:color w:val="auto"/>
          <w:kern w:val="0"/>
          <w:szCs w:val="21"/>
          <w:highlight w:val="none"/>
        </w:rPr>
        <w:t>后按时密封递交</w:t>
      </w:r>
      <w:r>
        <w:rPr>
          <w:rFonts w:hint="eastAsia" w:ascii="宋体" w:hAnsi="宋体"/>
          <w:color w:val="auto"/>
          <w:szCs w:val="21"/>
          <w:highlight w:val="none"/>
        </w:rPr>
        <w:t>。</w:t>
      </w:r>
    </w:p>
    <w:p w14:paraId="754443EE">
      <w:pPr>
        <w:keepNext w:val="0"/>
        <w:keepLines w:val="0"/>
        <w:pageBreakBefore w:val="0"/>
        <w:widowControl/>
        <w:shd w:val="clear"/>
        <w:tabs>
          <w:tab w:val="left" w:pos="540"/>
        </w:tabs>
        <w:kinsoku/>
        <w:overflowPunct/>
        <w:topLinePunct w:val="0"/>
        <w:autoSpaceDE/>
        <w:autoSpaceDN/>
        <w:bidi w:val="0"/>
        <w:adjustRightIn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当磋商小组一致确定供应商的竞争性磋商响应文件符合竞争性磋商文件要求，无需再磋商的，磋商小组按竞争性磋商文件设定的14.4、14.6程序和</w:t>
      </w:r>
      <w:r>
        <w:rPr>
          <w:rFonts w:hint="eastAsia"/>
          <w:color w:val="auto"/>
          <w:highlight w:val="none"/>
        </w:rPr>
        <w:t>评标</w:t>
      </w:r>
      <w:r>
        <w:rPr>
          <w:rFonts w:hint="eastAsia" w:ascii="宋体" w:hAnsi="宋体"/>
          <w:color w:val="auto"/>
          <w:szCs w:val="21"/>
          <w:highlight w:val="none"/>
        </w:rPr>
        <w:t>方法确定成交候选供应商。第二轮磋商后竞争性磋商文件仍有实质性变动的或仍需磋商的，磋商小组对竞争性磋商文件变动或提出磋商意见后进行第三轮磋商。以此类推。</w:t>
      </w:r>
    </w:p>
    <w:p w14:paraId="31C0D2F4">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14.4最后报价</w:t>
      </w:r>
    </w:p>
    <w:p w14:paraId="1782D6F2">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s="宋体"/>
          <w:color w:val="auto"/>
          <w:kern w:val="0"/>
          <w:szCs w:val="21"/>
          <w:highlight w:val="none"/>
        </w:rPr>
        <w:t>磋商结束后，磋商小组要求所有继续参加磋商的供应商在规定时间内提交最后报价。继续参加磋商的供应商</w:t>
      </w:r>
      <w:r>
        <w:rPr>
          <w:rFonts w:hint="eastAsia" w:ascii="宋体" w:hAnsi="宋体"/>
          <w:color w:val="auto"/>
          <w:szCs w:val="21"/>
          <w:highlight w:val="none"/>
        </w:rPr>
        <w:t>作最后报价，由其法定代表人或授权代表签字或者加盖公章</w:t>
      </w:r>
      <w:r>
        <w:rPr>
          <w:rFonts w:hint="eastAsia" w:ascii="宋体" w:hAnsi="宋体" w:cs="宋体"/>
          <w:color w:val="auto"/>
          <w:kern w:val="0"/>
          <w:szCs w:val="21"/>
          <w:highlight w:val="none"/>
        </w:rPr>
        <w:t>后密封递交</w:t>
      </w:r>
      <w:r>
        <w:rPr>
          <w:rFonts w:hint="eastAsia" w:ascii="宋体" w:hAnsi="宋体"/>
          <w:color w:val="auto"/>
          <w:szCs w:val="21"/>
          <w:highlight w:val="none"/>
        </w:rPr>
        <w:t>磋商小组，磋商小组应当从质量和服务均能满足磋商文件实质性响应要求的供应商中，按照评标标准的得分由高到低的顺序提出3名以上成交候选供应商</w:t>
      </w:r>
      <w:r>
        <w:rPr>
          <w:rFonts w:hint="eastAsia"/>
          <w:bCs/>
          <w:color w:val="auto"/>
          <w:highlight w:val="none"/>
        </w:rPr>
        <w:t>（得分相同时，以磋商报价</w:t>
      </w:r>
      <w:r>
        <w:rPr>
          <w:rFonts w:hint="eastAsia"/>
          <w:b/>
          <w:bCs/>
          <w:color w:val="auto"/>
          <w:highlight w:val="none"/>
        </w:rPr>
        <w:t>由低到高</w:t>
      </w:r>
      <w:r>
        <w:rPr>
          <w:rFonts w:hint="eastAsia"/>
          <w:bCs/>
          <w:color w:val="auto"/>
          <w:highlight w:val="none"/>
        </w:rPr>
        <w:t>顺序排列；得分相同且报价相同的，按服务方案优劣顺序排列）</w:t>
      </w:r>
      <w:r>
        <w:rPr>
          <w:rFonts w:hint="eastAsia" w:ascii="宋体" w:hAnsi="宋体"/>
          <w:color w:val="auto"/>
          <w:szCs w:val="21"/>
          <w:highlight w:val="none"/>
        </w:rPr>
        <w:t>，并编写评审报告。最后报价是供应商竞争性磋商响应文件的有效组成部分。</w:t>
      </w:r>
    </w:p>
    <w:p w14:paraId="143BCA4E">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AFC1E5D">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14.5在采购过程中符合要求的供应商或者报价未超过采购预算的供应商不足3家的，磋商活动终止。</w:t>
      </w:r>
    </w:p>
    <w:p w14:paraId="404C77AC">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color w:val="auto"/>
          <w:highlight w:val="none"/>
        </w:rPr>
      </w:pPr>
      <w:r>
        <w:rPr>
          <w:rFonts w:hint="eastAsia" w:ascii="宋体" w:hAnsi="宋体"/>
          <w:color w:val="auto"/>
          <w:szCs w:val="21"/>
          <w:highlight w:val="none"/>
        </w:rPr>
        <w:t>14.6</w:t>
      </w:r>
      <w:r>
        <w:rPr>
          <w:rFonts w:hint="eastAsia"/>
          <w:color w:val="auto"/>
          <w:highlight w:val="none"/>
        </w:rPr>
        <w:t>本采购</w:t>
      </w:r>
      <w:r>
        <w:rPr>
          <w:rFonts w:hint="eastAsia" w:ascii="宋体" w:hAnsi="宋体"/>
          <w:color w:val="auto"/>
          <w:highlight w:val="none"/>
        </w:rPr>
        <w:t>项目的评审依据为竞争性磋商文件和竞争性磋商响应文件，采用的评标方法为</w:t>
      </w:r>
      <w:r>
        <w:rPr>
          <w:rFonts w:hint="eastAsia" w:ascii="宋体" w:hAnsi="宋体"/>
          <w:b/>
          <w:color w:val="auto"/>
          <w:highlight w:val="none"/>
        </w:rPr>
        <w:t>综合评分法</w:t>
      </w:r>
      <w:r>
        <w:rPr>
          <w:rFonts w:hint="eastAsia" w:ascii="宋体" w:hAnsi="宋体"/>
          <w:color w:val="auto"/>
          <w:highlight w:val="none"/>
        </w:rPr>
        <w:t>。</w:t>
      </w:r>
    </w:p>
    <w:p w14:paraId="6AA839D2">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b/>
          <w:color w:val="auto"/>
          <w:szCs w:val="21"/>
          <w:highlight w:val="none"/>
        </w:rPr>
      </w:pPr>
      <w:r>
        <w:rPr>
          <w:rFonts w:hint="eastAsia" w:ascii="宋体" w:hAnsi="宋体"/>
          <w:b/>
          <w:color w:val="auto"/>
          <w:szCs w:val="21"/>
          <w:highlight w:val="none"/>
        </w:rPr>
        <w:t>九、确定成交供应商办法</w:t>
      </w:r>
    </w:p>
    <w:p w14:paraId="76378B99">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15.</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rPr>
        <w:t>质量和服务均能满足</w:t>
      </w:r>
      <w:r>
        <w:rPr>
          <w:rFonts w:hint="eastAsia"/>
          <w:color w:val="auto"/>
          <w:highlight w:val="none"/>
        </w:rPr>
        <w:t>竞争性磋商文件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按综合评分法</w:t>
      </w:r>
      <w:r>
        <w:rPr>
          <w:rFonts w:hint="eastAsia" w:ascii="宋体" w:hAnsi="宋体" w:cs="宋体"/>
          <w:color w:val="auto"/>
          <w:kern w:val="0"/>
          <w:szCs w:val="21"/>
          <w:highlight w:val="none"/>
        </w:rPr>
        <w:t>的成交候选供应商推荐原则</w:t>
      </w:r>
      <w:r>
        <w:rPr>
          <w:rFonts w:ascii="宋体" w:hAnsi="宋体" w:cs="宋体"/>
          <w:color w:val="auto"/>
          <w:kern w:val="0"/>
          <w:szCs w:val="21"/>
          <w:highlight w:val="none"/>
        </w:rPr>
        <w:t>确定成交供应商</w:t>
      </w:r>
      <w:r>
        <w:rPr>
          <w:rFonts w:hint="eastAsia" w:ascii="宋体" w:hAnsi="宋体" w:cs="宋体"/>
          <w:color w:val="auto"/>
          <w:kern w:val="0"/>
          <w:szCs w:val="21"/>
          <w:highlight w:val="none"/>
        </w:rPr>
        <w:t>。</w:t>
      </w:r>
    </w:p>
    <w:p w14:paraId="010D5F70">
      <w:pPr>
        <w:keepNext w:val="0"/>
        <w:keepLines w:val="0"/>
        <w:pageBreakBefore w:val="0"/>
        <w:widowControl/>
        <w:shd w:val="clear"/>
        <w:tabs>
          <w:tab w:val="left" w:pos="540"/>
        </w:tabs>
        <w:kinsoku/>
        <w:overflowPunct/>
        <w:topLinePunct w:val="0"/>
        <w:autoSpaceDE/>
        <w:autoSpaceDN/>
        <w:bidi w:val="0"/>
        <w:adjustRightInd/>
        <w:snapToGrid/>
        <w:spacing w:line="380" w:lineRule="exact"/>
        <w:ind w:firstLine="420" w:firstLineChars="200"/>
        <w:jc w:val="left"/>
        <w:textAlignment w:val="auto"/>
        <w:rPr>
          <w:rFonts w:hint="eastAsia" w:hAnsi="宋体"/>
          <w:b/>
          <w:color w:val="auto"/>
          <w:highlight w:val="none"/>
        </w:rPr>
      </w:pPr>
      <w:r>
        <w:rPr>
          <w:rFonts w:hint="eastAsia" w:hAnsi="宋体"/>
          <w:b/>
          <w:color w:val="auto"/>
          <w:highlight w:val="none"/>
        </w:rPr>
        <w:t>十、成交结果公告</w:t>
      </w:r>
    </w:p>
    <w:p w14:paraId="265A1D2C">
      <w:pPr>
        <w:keepNext w:val="0"/>
        <w:keepLines w:val="0"/>
        <w:pageBreakBefore w:val="0"/>
        <w:widowControl/>
        <w:shd w:val="clear"/>
        <w:tabs>
          <w:tab w:val="left" w:pos="540"/>
        </w:tabs>
        <w:kinsoku/>
        <w:wordWrap w:val="0"/>
        <w:overflowPunct/>
        <w:topLinePunct w:val="0"/>
        <w:autoSpaceDE/>
        <w:autoSpaceDN/>
        <w:bidi w:val="0"/>
        <w:adjustRightInd/>
        <w:snapToGrid/>
        <w:spacing w:line="380" w:lineRule="exact"/>
        <w:ind w:firstLine="420" w:firstLineChars="200"/>
        <w:jc w:val="left"/>
        <w:textAlignment w:val="auto"/>
        <w:rPr>
          <w:rFonts w:hint="eastAsia" w:hAnsi="宋体"/>
          <w:color w:val="auto"/>
          <w:highlight w:val="none"/>
        </w:rPr>
      </w:pPr>
      <w:r>
        <w:rPr>
          <w:rFonts w:hint="eastAsia" w:ascii="宋体" w:hAnsi="宋体" w:cs="宋体"/>
          <w:color w:val="auto"/>
          <w:kern w:val="0"/>
          <w:szCs w:val="21"/>
          <w:highlight w:val="none"/>
        </w:rPr>
        <w:t>16.1</w:t>
      </w:r>
      <w:r>
        <w:rPr>
          <w:rFonts w:hint="eastAsia" w:hAnsi="宋体"/>
          <w:color w:val="auto"/>
          <w:highlight w:val="none"/>
        </w:rPr>
        <w:t>采购代理机构在评审结束后2个工作日内将磋商评审报告送采购人确认，</w:t>
      </w:r>
      <w:r>
        <w:rPr>
          <w:rFonts w:hint="eastAsia" w:hAnsi="宋体" w:cs="宋体"/>
          <w:color w:val="auto"/>
          <w:kern w:val="0"/>
          <w:highlight w:val="none"/>
        </w:rPr>
        <w:t>采购人</w:t>
      </w:r>
      <w:r>
        <w:rPr>
          <w:rFonts w:hint="eastAsia" w:hAnsi="宋体"/>
          <w:color w:val="auto"/>
          <w:highlight w:val="none"/>
        </w:rPr>
        <w:t>确认后，成交结果公告将在指定的采购信息发布媒体上发布，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01B156A5">
      <w:pPr>
        <w:pStyle w:val="10"/>
        <w:keepNext w:val="0"/>
        <w:keepLines w:val="0"/>
        <w:pageBreakBefore w:val="0"/>
        <w:shd w:val="clear"/>
        <w:kinsoku/>
        <w:overflowPunct/>
        <w:topLinePunct w:val="0"/>
        <w:autoSpaceDE/>
        <w:autoSpaceDN/>
        <w:bidi w:val="0"/>
        <w:adjustRightInd/>
        <w:snapToGrid/>
        <w:spacing w:line="380" w:lineRule="exact"/>
        <w:ind w:left="105" w:firstLine="315"/>
        <w:textAlignment w:val="auto"/>
        <w:rPr>
          <w:rFonts w:hint="eastAsia" w:hAnsi="宋体"/>
          <w:bCs/>
          <w:color w:val="auto"/>
          <w:highlight w:val="none"/>
        </w:rPr>
      </w:pPr>
      <w:r>
        <w:rPr>
          <w:rFonts w:hint="eastAsia" w:hAnsi="宋体"/>
          <w:color w:val="auto"/>
          <w:highlight w:val="none"/>
        </w:rPr>
        <w:t>16.2磋商供应商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磋商供应商</w:t>
      </w:r>
      <w:r>
        <w:rPr>
          <w:rFonts w:hint="eastAsia" w:hAnsi="宋体"/>
          <w:bCs/>
          <w:color w:val="auto"/>
          <w:highlight w:val="none"/>
        </w:rPr>
        <w:t>的书面质疑后七个工作日内做出答复，但答复的内容不得涉及商业秘密。</w:t>
      </w:r>
    </w:p>
    <w:p w14:paraId="6E1EDD28">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bCs/>
          <w:color w:val="auto"/>
          <w:highlight w:val="none"/>
        </w:rPr>
      </w:pPr>
      <w:r>
        <w:rPr>
          <w:rFonts w:hint="eastAsia" w:hAnsi="宋体"/>
          <w:color w:val="auto"/>
          <w:highlight w:val="none"/>
        </w:rPr>
        <w:t>16.3</w:t>
      </w:r>
      <w:r>
        <w:rPr>
          <w:rFonts w:hint="eastAsia" w:hAnsi="宋体"/>
          <w:bCs/>
          <w:color w:val="auto"/>
          <w:highlight w:val="none"/>
        </w:rPr>
        <w:t>质疑</w:t>
      </w:r>
      <w:r>
        <w:rPr>
          <w:rFonts w:hint="eastAsia" w:hAnsi="宋体"/>
          <w:color w:val="auto"/>
          <w:highlight w:val="none"/>
        </w:rPr>
        <w:t>磋商供应商</w:t>
      </w:r>
      <w:r>
        <w:rPr>
          <w:rFonts w:hint="eastAsia" w:hAnsi="宋体"/>
          <w:bCs/>
          <w:color w:val="auto"/>
          <w:highlight w:val="none"/>
        </w:rPr>
        <w:t>必须首先经过质疑程序，在对采购代理机构的答复不满意或者采购代理机构未在规定的时间内做出答复的，可以在答复期满后十五个工作日内书面向相关监督管理部门投诉。</w:t>
      </w:r>
    </w:p>
    <w:p w14:paraId="7AC7F51E">
      <w:pPr>
        <w:widowControl w:val="0"/>
        <w:shd w:val="clear"/>
        <w:spacing w:line="380" w:lineRule="exact"/>
        <w:ind w:firstLine="422"/>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质疑联系部门及电话为：广西国力招标有限公司                    0771-4915558</w:t>
      </w:r>
    </w:p>
    <w:p w14:paraId="7A39C9E0">
      <w:pPr>
        <w:widowControl w:val="0"/>
        <w:shd w:val="clear"/>
        <w:spacing w:line="380" w:lineRule="exact"/>
        <w:ind w:firstLine="422"/>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通讯地址：广西南宁市白沙大道53号松宇时代13楼</w:t>
      </w:r>
    </w:p>
    <w:p w14:paraId="1EDA1249">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十一、签订合同</w:t>
      </w:r>
    </w:p>
    <w:p w14:paraId="47866092">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17.1成交供应商</w:t>
      </w:r>
      <w:r>
        <w:rPr>
          <w:rFonts w:hint="eastAsia" w:ascii="宋体" w:hAnsi="宋体" w:eastAsia="宋体" w:cs="宋体"/>
          <w:b w:val="0"/>
          <w:bCs w:val="0"/>
          <w:color w:val="auto"/>
          <w:sz w:val="21"/>
          <w:szCs w:val="21"/>
          <w:highlight w:val="none"/>
          <w:shd w:val="clear"/>
        </w:rPr>
        <w:t>自</w:t>
      </w:r>
      <w:r>
        <w:rPr>
          <w:rFonts w:hint="eastAsia" w:ascii="宋体" w:hAnsi="宋体" w:eastAsia="宋体" w:cs="宋体"/>
          <w:b w:val="0"/>
          <w:bCs w:val="0"/>
          <w:color w:val="auto"/>
          <w:sz w:val="21"/>
          <w:szCs w:val="21"/>
          <w:highlight w:val="none"/>
          <w:shd w:val="clear"/>
          <w:lang w:val="en-US" w:eastAsia="zh-CN"/>
        </w:rPr>
        <w:t>成交</w:t>
      </w:r>
      <w:r>
        <w:rPr>
          <w:rFonts w:hint="eastAsia" w:ascii="宋体" w:hAnsi="宋体" w:eastAsia="宋体" w:cs="宋体"/>
          <w:b w:val="0"/>
          <w:bCs w:val="0"/>
          <w:color w:val="auto"/>
          <w:sz w:val="21"/>
          <w:szCs w:val="21"/>
          <w:highlight w:val="none"/>
          <w:shd w:val="clear"/>
        </w:rPr>
        <w:t>通知书发出之日起</w:t>
      </w:r>
      <w:r>
        <w:rPr>
          <w:rFonts w:hint="eastAsia" w:hAnsi="宋体" w:cs="宋体"/>
          <w:b w:val="0"/>
          <w:bCs w:val="0"/>
          <w:color w:val="auto"/>
          <w:sz w:val="21"/>
          <w:szCs w:val="21"/>
          <w:highlight w:val="none"/>
          <w:shd w:val="clear"/>
          <w:lang w:val="en-US" w:eastAsia="zh-CN"/>
        </w:rPr>
        <w:t>30</w:t>
      </w:r>
      <w:r>
        <w:rPr>
          <w:rFonts w:hint="eastAsia" w:ascii="宋体" w:hAnsi="宋体" w:eastAsia="宋体" w:cs="宋体"/>
          <w:b w:val="0"/>
          <w:bCs w:val="0"/>
          <w:color w:val="auto"/>
          <w:sz w:val="21"/>
          <w:szCs w:val="21"/>
          <w:highlight w:val="none"/>
          <w:shd w:val="clear"/>
        </w:rPr>
        <w:t>日内</w:t>
      </w:r>
      <w:r>
        <w:rPr>
          <w:rFonts w:hint="eastAsia" w:ascii="宋体" w:hAnsi="宋体" w:eastAsia="宋体" w:cs="宋体"/>
          <w:b w:val="0"/>
          <w:bCs w:val="0"/>
          <w:color w:val="auto"/>
          <w:sz w:val="21"/>
          <w:szCs w:val="21"/>
          <w:highlight w:val="none"/>
          <w:shd w:val="clear"/>
          <w:lang w:eastAsia="zh-CN"/>
        </w:rPr>
        <w:t>签订合同</w:t>
      </w:r>
      <w:r>
        <w:rPr>
          <w:rFonts w:hint="eastAsia" w:hAnsi="宋体"/>
          <w:color w:val="auto"/>
          <w:highlight w:val="none"/>
        </w:rPr>
        <w:t>。</w:t>
      </w:r>
    </w:p>
    <w:p w14:paraId="5D10E5CB">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cs="宋体"/>
          <w:color w:val="auto"/>
          <w:kern w:val="0"/>
          <w:highlight w:val="none"/>
        </w:rPr>
      </w:pPr>
      <w:r>
        <w:rPr>
          <w:rFonts w:hint="eastAsia" w:hAnsi="宋体"/>
          <w:color w:val="auto"/>
          <w:highlight w:val="none"/>
        </w:rPr>
        <w:t>17.2</w:t>
      </w:r>
      <w:r>
        <w:rPr>
          <w:rFonts w:hint="eastAsia" w:hAnsi="宋体" w:cs="宋体"/>
          <w:color w:val="auto"/>
          <w:kern w:val="0"/>
          <w:highlight w:val="none"/>
        </w:rPr>
        <w:t>成交供应商拒绝签订采购合同的</w:t>
      </w:r>
      <w:r>
        <w:rPr>
          <w:rFonts w:hint="eastAsia" w:hAnsi="宋体"/>
          <w:color w:val="auto"/>
          <w:highlight w:val="none"/>
        </w:rPr>
        <w:t>，采购人可以根据磋商评审报告确定成交供应商之后排名第一的成交候选供应商</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并签订采购合同，也可以重新开展采购活动。拒绝签订采购合同的成交供应商不得参加对该项目重新开展的采购活动。</w:t>
      </w:r>
    </w:p>
    <w:p w14:paraId="06BE5AE1">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b/>
          <w:color w:val="auto"/>
          <w:highlight w:val="none"/>
        </w:rPr>
        <w:t>17.3</w:t>
      </w:r>
      <w:r>
        <w:rPr>
          <w:rFonts w:hint="eastAsia" w:hAnsi="宋体" w:cs="宋体"/>
          <w:b/>
          <w:color w:val="auto"/>
          <w:kern w:val="0"/>
          <w:highlight w:val="none"/>
        </w:rPr>
        <w:t>成交供应商拒绝签订采购合同的</w:t>
      </w:r>
      <w:r>
        <w:rPr>
          <w:rFonts w:hint="eastAsia"/>
          <w:b/>
          <w:color w:val="auto"/>
          <w:highlight w:val="none"/>
        </w:rPr>
        <w:t>，其保证金将不予退还，给采购人造成损失的，还应当赔偿损失，并作为不良行为记录在案</w:t>
      </w:r>
      <w:r>
        <w:rPr>
          <w:rFonts w:hint="eastAsia" w:hAnsi="宋体"/>
          <w:b/>
          <w:color w:val="auto"/>
          <w:highlight w:val="none"/>
        </w:rPr>
        <w:t>。</w:t>
      </w:r>
    </w:p>
    <w:p w14:paraId="3EBADC56">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17.4履约保证金</w:t>
      </w:r>
    </w:p>
    <w:p w14:paraId="59D6CDAF">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default" w:hAnsi="宋体" w:eastAsia="宋体"/>
          <w:b/>
          <w:color w:val="auto"/>
          <w:highlight w:val="none"/>
          <w:lang w:val="en-US" w:eastAsia="zh-CN"/>
        </w:rPr>
      </w:pPr>
      <w:r>
        <w:rPr>
          <w:rFonts w:hint="eastAsia" w:hAnsi="宋体"/>
          <w:b/>
          <w:color w:val="auto"/>
          <w:highlight w:val="none"/>
          <w:lang w:val="en-US" w:eastAsia="zh-CN"/>
        </w:rPr>
        <w:t>本项目不收取履约保证金。</w:t>
      </w:r>
    </w:p>
    <w:p w14:paraId="5606FFF2">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b/>
          <w:color w:val="auto"/>
          <w:highlight w:val="none"/>
        </w:rPr>
      </w:pPr>
      <w:r>
        <w:rPr>
          <w:rFonts w:hint="eastAsia" w:hAnsi="宋体"/>
          <w:b/>
          <w:color w:val="auto"/>
          <w:highlight w:val="none"/>
        </w:rPr>
        <w:t>十二、适用法律</w:t>
      </w:r>
    </w:p>
    <w:p w14:paraId="2A2909D5">
      <w:pPr>
        <w:pStyle w:val="10"/>
        <w:keepNext w:val="0"/>
        <w:keepLines w:val="0"/>
        <w:pageBreakBefore w:val="0"/>
        <w:shd w:val="clear"/>
        <w:kinsoku/>
        <w:overflowPunct/>
        <w:topLinePunct w:val="0"/>
        <w:autoSpaceDE/>
        <w:autoSpaceDN/>
        <w:bidi w:val="0"/>
        <w:adjustRightInd/>
        <w:snapToGrid/>
        <w:spacing w:line="380" w:lineRule="exact"/>
        <w:ind w:firstLine="420"/>
        <w:textAlignment w:val="auto"/>
        <w:rPr>
          <w:rFonts w:hint="eastAsia" w:hAnsi="宋体"/>
          <w:color w:val="auto"/>
          <w:highlight w:val="none"/>
        </w:rPr>
      </w:pPr>
      <w:r>
        <w:rPr>
          <w:rFonts w:hint="eastAsia" w:hAnsi="宋体"/>
          <w:color w:val="auto"/>
          <w:highlight w:val="none"/>
        </w:rPr>
        <w:t>18.采购当事人的一切活动</w:t>
      </w:r>
      <w:r>
        <w:rPr>
          <w:rFonts w:hint="eastAsia" w:hAnsi="宋体"/>
          <w:color w:val="auto"/>
          <w:highlight w:val="none"/>
          <w:lang w:val="en-US" w:eastAsia="zh-CN"/>
        </w:rPr>
        <w:t>参照</w:t>
      </w:r>
      <w:r>
        <w:rPr>
          <w:rFonts w:hint="eastAsia" w:hAnsi="宋体"/>
          <w:color w:val="auto"/>
          <w:highlight w:val="none"/>
        </w:rPr>
        <w:t>《中华人民共和国政府采购法》及相关规定。最终磋商结束后，</w:t>
      </w:r>
    </w:p>
    <w:p w14:paraId="4DC8D353">
      <w:pPr>
        <w:keepNext w:val="0"/>
        <w:keepLines w:val="0"/>
        <w:pageBreakBefore w:val="0"/>
        <w:shd w:val="clear"/>
        <w:kinsoku/>
        <w:overflowPunct/>
        <w:topLinePunct w:val="0"/>
        <w:autoSpaceDE/>
        <w:autoSpaceDN/>
        <w:bidi w:val="0"/>
        <w:adjustRightInd/>
        <w:snapToGrid/>
        <w:spacing w:line="380" w:lineRule="exact"/>
        <w:textAlignment w:val="auto"/>
        <w:rPr>
          <w:rFonts w:hint="eastAsia" w:ascii="宋体" w:hAnsi="宋体"/>
          <w:color w:val="auto"/>
          <w:szCs w:val="21"/>
          <w:highlight w:val="none"/>
        </w:rPr>
      </w:pPr>
      <w:r>
        <w:rPr>
          <w:rFonts w:hint="eastAsia" w:ascii="宋体" w:hAnsi="宋体"/>
          <w:color w:val="auto"/>
          <w:szCs w:val="21"/>
          <w:highlight w:val="none"/>
        </w:rPr>
        <w:t>磋商小组不得再与磋商供应商进行任何形式的商谈。</w:t>
      </w:r>
    </w:p>
    <w:p w14:paraId="7068D92B">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ascii="宋体" w:hAnsi="宋体"/>
          <w:b/>
          <w:color w:val="auto"/>
          <w:szCs w:val="21"/>
          <w:highlight w:val="none"/>
        </w:rPr>
      </w:pPr>
      <w:r>
        <w:rPr>
          <w:rFonts w:hint="eastAsia" w:ascii="宋体" w:hAnsi="宋体"/>
          <w:b/>
          <w:color w:val="auto"/>
          <w:szCs w:val="21"/>
          <w:highlight w:val="none"/>
        </w:rPr>
        <w:t>十三、其他事项</w:t>
      </w:r>
    </w:p>
    <w:p w14:paraId="2CA1A2FD">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19.1成交服务费</w:t>
      </w:r>
    </w:p>
    <w:p w14:paraId="6EC98B08">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（1）采购代理机构按</w:t>
      </w:r>
      <w:r>
        <w:rPr>
          <w:rFonts w:hint="eastAsia" w:ascii="宋体" w:hAnsi="宋体" w:eastAsia="宋体" w:cs="宋体"/>
          <w:color w:val="auto"/>
          <w:highlight w:val="none"/>
        </w:rPr>
        <w:t>广西壮族自治区物价局转发国家发改委《关于降低部分建设项目收费标准规范收费行为等有关问题的通知》（桂价费〔2011〕51号）</w:t>
      </w:r>
      <w:r>
        <w:rPr>
          <w:rFonts w:hint="eastAsia" w:ascii="Times New Roman" w:hAnsi="宋体" w:eastAsia="宋体" w:cs="Times New Roman"/>
          <w:color w:val="auto"/>
          <w:highlight w:val="none"/>
        </w:rPr>
        <w:t>文件确定的收费标准计取成交服务费，发布成交结果公告后，成交供应商须向广西国力招标有限公司一次付清成交服务费。</w:t>
      </w:r>
    </w:p>
    <w:p w14:paraId="172F4D6A">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Times New Roman" w:hAnsi="宋体" w:eastAsia="宋体" w:cs="Times New Roman"/>
          <w:color w:val="auto"/>
          <w:highlight w:val="none"/>
        </w:rPr>
      </w:pPr>
      <w:r>
        <w:rPr>
          <w:rFonts w:hint="eastAsia" w:ascii="Times New Roman" w:hAnsi="宋体" w:eastAsia="宋体" w:cs="Times New Roman"/>
          <w:color w:val="auto"/>
          <w:highlight w:val="none"/>
        </w:rPr>
        <w:t>（2）代理服务收费标准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E915AB6">
        <w:trPr>
          <w:jc w:val="center"/>
        </w:trPr>
        <w:tc>
          <w:tcPr>
            <w:tcW w:w="3472" w:type="dxa"/>
            <w:tcBorders>
              <w:tl2br w:val="single" w:color="auto" w:sz="4" w:space="0"/>
            </w:tcBorders>
            <w:noWrap w:val="0"/>
            <w:vAlign w:val="center"/>
          </w:tcPr>
          <w:p w14:paraId="460996B0">
            <w:pPr>
              <w:keepNext w:val="0"/>
              <w:keepLines w:val="0"/>
              <w:pageBreakBefore w:val="0"/>
              <w:shd w:val="clear"/>
              <w:kinsoku/>
              <w:overflowPunct/>
              <w:topLinePunct w:val="0"/>
              <w:autoSpaceDE/>
              <w:autoSpaceDN/>
              <w:bidi w:val="0"/>
              <w:adjustRightInd/>
              <w:spacing w:line="380" w:lineRule="exact"/>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费率</w:t>
            </w:r>
          </w:p>
          <w:p w14:paraId="1B33CB66">
            <w:pPr>
              <w:keepNext w:val="0"/>
              <w:keepLines w:val="0"/>
              <w:pageBreakBefore w:val="0"/>
              <w:shd w:val="clear"/>
              <w:kinsoku/>
              <w:overflowPunct/>
              <w:topLinePunct w:val="0"/>
              <w:autoSpaceDE/>
              <w:autoSpaceDN/>
              <w:bidi w:val="0"/>
              <w:adjustRightIn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tc>
        <w:tc>
          <w:tcPr>
            <w:tcW w:w="1659" w:type="dxa"/>
            <w:noWrap w:val="0"/>
            <w:vAlign w:val="center"/>
          </w:tcPr>
          <w:p w14:paraId="2A8644BB">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532" w:type="dxa"/>
            <w:noWrap w:val="0"/>
            <w:vAlign w:val="center"/>
          </w:tcPr>
          <w:p w14:paraId="71B65438">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546" w:type="dxa"/>
            <w:noWrap w:val="0"/>
            <w:vAlign w:val="center"/>
          </w:tcPr>
          <w:p w14:paraId="3EC05BDA">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410DEE67">
        <w:trPr>
          <w:jc w:val="center"/>
        </w:trPr>
        <w:tc>
          <w:tcPr>
            <w:tcW w:w="3472" w:type="dxa"/>
            <w:noWrap w:val="0"/>
            <w:vAlign w:val="center"/>
          </w:tcPr>
          <w:p w14:paraId="71537559">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100万元以下</w:t>
            </w:r>
          </w:p>
        </w:tc>
        <w:tc>
          <w:tcPr>
            <w:tcW w:w="1659" w:type="dxa"/>
            <w:noWrap w:val="0"/>
            <w:vAlign w:val="center"/>
          </w:tcPr>
          <w:p w14:paraId="097349B2">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32" w:type="dxa"/>
            <w:noWrap w:val="0"/>
            <w:vAlign w:val="center"/>
          </w:tcPr>
          <w:p w14:paraId="12ACCAF1">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1.5%</w:t>
            </w:r>
          </w:p>
        </w:tc>
        <w:tc>
          <w:tcPr>
            <w:tcW w:w="1546" w:type="dxa"/>
            <w:noWrap w:val="0"/>
            <w:vAlign w:val="center"/>
          </w:tcPr>
          <w:p w14:paraId="6F074E61">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w:t>
            </w:r>
          </w:p>
        </w:tc>
      </w:tr>
      <w:tr w14:paraId="38739DF0">
        <w:trPr>
          <w:jc w:val="center"/>
        </w:trPr>
        <w:tc>
          <w:tcPr>
            <w:tcW w:w="3472" w:type="dxa"/>
            <w:noWrap w:val="0"/>
            <w:vAlign w:val="center"/>
          </w:tcPr>
          <w:p w14:paraId="065046A9">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100～500万元</w:t>
            </w:r>
          </w:p>
        </w:tc>
        <w:tc>
          <w:tcPr>
            <w:tcW w:w="1659" w:type="dxa"/>
            <w:noWrap w:val="0"/>
            <w:vAlign w:val="center"/>
          </w:tcPr>
          <w:p w14:paraId="3C08E846">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w:t>
            </w:r>
          </w:p>
        </w:tc>
        <w:tc>
          <w:tcPr>
            <w:tcW w:w="1532" w:type="dxa"/>
            <w:noWrap w:val="0"/>
            <w:vAlign w:val="center"/>
          </w:tcPr>
          <w:p w14:paraId="2D56519E">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46" w:type="dxa"/>
            <w:noWrap w:val="0"/>
            <w:vAlign w:val="center"/>
          </w:tcPr>
          <w:p w14:paraId="6B252B49">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0.7%</w:t>
            </w:r>
          </w:p>
        </w:tc>
      </w:tr>
      <w:tr w14:paraId="40D75D81">
        <w:trPr>
          <w:jc w:val="center"/>
        </w:trPr>
        <w:tc>
          <w:tcPr>
            <w:tcW w:w="3472" w:type="dxa"/>
            <w:noWrap w:val="0"/>
            <w:vAlign w:val="center"/>
          </w:tcPr>
          <w:p w14:paraId="05DCDA5B">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500～1000万元</w:t>
            </w:r>
          </w:p>
        </w:tc>
        <w:tc>
          <w:tcPr>
            <w:tcW w:w="1659" w:type="dxa"/>
            <w:noWrap w:val="0"/>
            <w:vAlign w:val="center"/>
          </w:tcPr>
          <w:p w14:paraId="46BA1BF6">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0.8%</w:t>
            </w:r>
          </w:p>
        </w:tc>
        <w:tc>
          <w:tcPr>
            <w:tcW w:w="1532" w:type="dxa"/>
            <w:noWrap w:val="0"/>
            <w:vAlign w:val="center"/>
          </w:tcPr>
          <w:p w14:paraId="0473D669">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0.45%</w:t>
            </w:r>
          </w:p>
        </w:tc>
        <w:tc>
          <w:tcPr>
            <w:tcW w:w="1546" w:type="dxa"/>
            <w:noWrap w:val="0"/>
            <w:vAlign w:val="center"/>
          </w:tcPr>
          <w:p w14:paraId="79B41E5A">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0.55%</w:t>
            </w:r>
          </w:p>
        </w:tc>
      </w:tr>
      <w:tr w14:paraId="528BCDFD">
        <w:trPr>
          <w:jc w:val="center"/>
        </w:trPr>
        <w:tc>
          <w:tcPr>
            <w:tcW w:w="3472" w:type="dxa"/>
            <w:noWrap w:val="0"/>
            <w:vAlign w:val="center"/>
          </w:tcPr>
          <w:p w14:paraId="35827DEB">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1000～5000万元</w:t>
            </w:r>
          </w:p>
        </w:tc>
        <w:tc>
          <w:tcPr>
            <w:tcW w:w="1659" w:type="dxa"/>
            <w:noWrap w:val="0"/>
            <w:vAlign w:val="center"/>
          </w:tcPr>
          <w:p w14:paraId="5D22F9BF">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0.5%</w:t>
            </w:r>
          </w:p>
        </w:tc>
        <w:tc>
          <w:tcPr>
            <w:tcW w:w="1532" w:type="dxa"/>
            <w:noWrap w:val="0"/>
            <w:vAlign w:val="center"/>
          </w:tcPr>
          <w:p w14:paraId="5D072118">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46" w:type="dxa"/>
            <w:noWrap w:val="0"/>
            <w:vAlign w:val="center"/>
          </w:tcPr>
          <w:p w14:paraId="279DA5D9">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0.35%</w:t>
            </w:r>
          </w:p>
        </w:tc>
      </w:tr>
      <w:tr w14:paraId="7913C595">
        <w:trPr>
          <w:jc w:val="center"/>
        </w:trPr>
        <w:tc>
          <w:tcPr>
            <w:tcW w:w="3472" w:type="dxa"/>
            <w:noWrap w:val="0"/>
            <w:vAlign w:val="center"/>
          </w:tcPr>
          <w:p w14:paraId="01B5003C">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5000万元～1亿元</w:t>
            </w:r>
          </w:p>
        </w:tc>
        <w:tc>
          <w:tcPr>
            <w:tcW w:w="1659" w:type="dxa"/>
            <w:noWrap w:val="0"/>
            <w:vAlign w:val="center"/>
          </w:tcPr>
          <w:p w14:paraId="7E3EFC2A">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0.25%</w:t>
            </w:r>
          </w:p>
        </w:tc>
        <w:tc>
          <w:tcPr>
            <w:tcW w:w="1532" w:type="dxa"/>
            <w:noWrap w:val="0"/>
            <w:vAlign w:val="center"/>
          </w:tcPr>
          <w:p w14:paraId="5D8076A7">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0.1%</w:t>
            </w:r>
          </w:p>
        </w:tc>
        <w:tc>
          <w:tcPr>
            <w:tcW w:w="1546" w:type="dxa"/>
            <w:noWrap w:val="0"/>
            <w:vAlign w:val="center"/>
          </w:tcPr>
          <w:p w14:paraId="4DDAC1AD">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0.2%</w:t>
            </w:r>
          </w:p>
        </w:tc>
      </w:tr>
      <w:tr w14:paraId="1FBBDEE3">
        <w:trPr>
          <w:jc w:val="center"/>
        </w:trPr>
        <w:tc>
          <w:tcPr>
            <w:tcW w:w="3472" w:type="dxa"/>
            <w:noWrap w:val="0"/>
            <w:vAlign w:val="center"/>
          </w:tcPr>
          <w:p w14:paraId="6615BFB1">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1～5亿元</w:t>
            </w:r>
          </w:p>
        </w:tc>
        <w:tc>
          <w:tcPr>
            <w:tcW w:w="1659" w:type="dxa"/>
            <w:noWrap w:val="0"/>
            <w:vAlign w:val="center"/>
          </w:tcPr>
          <w:p w14:paraId="555F40D1">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32" w:type="dxa"/>
            <w:noWrap w:val="0"/>
            <w:vAlign w:val="center"/>
          </w:tcPr>
          <w:p w14:paraId="515C31F9">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c>
          <w:tcPr>
            <w:tcW w:w="1546" w:type="dxa"/>
            <w:noWrap w:val="0"/>
            <w:vAlign w:val="center"/>
          </w:tcPr>
          <w:p w14:paraId="681AA6A9">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0.05%</w:t>
            </w:r>
          </w:p>
        </w:tc>
      </w:tr>
      <w:tr w14:paraId="3A6A9B4A">
        <w:trPr>
          <w:jc w:val="center"/>
        </w:trPr>
        <w:tc>
          <w:tcPr>
            <w:tcW w:w="3472" w:type="dxa"/>
            <w:noWrap w:val="0"/>
            <w:vAlign w:val="center"/>
          </w:tcPr>
          <w:p w14:paraId="774D5256">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5～10亿元</w:t>
            </w:r>
          </w:p>
        </w:tc>
        <w:tc>
          <w:tcPr>
            <w:tcW w:w="1659" w:type="dxa"/>
            <w:noWrap w:val="0"/>
            <w:vAlign w:val="center"/>
          </w:tcPr>
          <w:p w14:paraId="72B4D664">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32" w:type="dxa"/>
            <w:noWrap w:val="0"/>
            <w:vAlign w:val="center"/>
          </w:tcPr>
          <w:p w14:paraId="5A2EC436">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c>
          <w:tcPr>
            <w:tcW w:w="1546" w:type="dxa"/>
            <w:noWrap w:val="0"/>
            <w:vAlign w:val="center"/>
          </w:tcPr>
          <w:p w14:paraId="0C84A84A">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0.035%</w:t>
            </w:r>
          </w:p>
        </w:tc>
      </w:tr>
      <w:tr w14:paraId="269EB4F5">
        <w:trPr>
          <w:jc w:val="center"/>
        </w:trPr>
        <w:tc>
          <w:tcPr>
            <w:tcW w:w="3472" w:type="dxa"/>
            <w:noWrap w:val="0"/>
            <w:vAlign w:val="center"/>
          </w:tcPr>
          <w:p w14:paraId="6CCD7F78">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10～50亿元</w:t>
            </w:r>
          </w:p>
        </w:tc>
        <w:tc>
          <w:tcPr>
            <w:tcW w:w="1659" w:type="dxa"/>
            <w:noWrap w:val="0"/>
            <w:vAlign w:val="center"/>
          </w:tcPr>
          <w:p w14:paraId="57B1C9C3">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32" w:type="dxa"/>
            <w:noWrap w:val="0"/>
            <w:vAlign w:val="center"/>
          </w:tcPr>
          <w:p w14:paraId="4E891D0A">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c>
          <w:tcPr>
            <w:tcW w:w="1546" w:type="dxa"/>
            <w:noWrap w:val="0"/>
            <w:vAlign w:val="center"/>
          </w:tcPr>
          <w:p w14:paraId="40B46B9B">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0.008%</w:t>
            </w:r>
          </w:p>
        </w:tc>
      </w:tr>
      <w:tr w14:paraId="0C95A7AE">
        <w:trPr>
          <w:jc w:val="center"/>
        </w:trPr>
        <w:tc>
          <w:tcPr>
            <w:tcW w:w="3472" w:type="dxa"/>
            <w:noWrap w:val="0"/>
            <w:vAlign w:val="center"/>
          </w:tcPr>
          <w:p w14:paraId="7E899B00">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50～100亿元</w:t>
            </w:r>
          </w:p>
        </w:tc>
        <w:tc>
          <w:tcPr>
            <w:tcW w:w="1659" w:type="dxa"/>
            <w:noWrap w:val="0"/>
            <w:vAlign w:val="center"/>
          </w:tcPr>
          <w:p w14:paraId="1018E7B6">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32" w:type="dxa"/>
            <w:noWrap w:val="0"/>
            <w:vAlign w:val="center"/>
          </w:tcPr>
          <w:p w14:paraId="0F34D8F2">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c>
          <w:tcPr>
            <w:tcW w:w="1546" w:type="dxa"/>
            <w:noWrap w:val="0"/>
            <w:vAlign w:val="center"/>
          </w:tcPr>
          <w:p w14:paraId="7A76772A">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0.006%</w:t>
            </w:r>
          </w:p>
        </w:tc>
      </w:tr>
      <w:tr w14:paraId="1B1F047F">
        <w:trPr>
          <w:jc w:val="center"/>
        </w:trPr>
        <w:tc>
          <w:tcPr>
            <w:tcW w:w="3472" w:type="dxa"/>
            <w:noWrap w:val="0"/>
            <w:vAlign w:val="center"/>
          </w:tcPr>
          <w:p w14:paraId="18CEF080">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100亿以上</w:t>
            </w:r>
          </w:p>
        </w:tc>
        <w:tc>
          <w:tcPr>
            <w:tcW w:w="1659" w:type="dxa"/>
            <w:noWrap w:val="0"/>
            <w:vAlign w:val="center"/>
          </w:tcPr>
          <w:p w14:paraId="078855AE">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32" w:type="dxa"/>
            <w:noWrap w:val="0"/>
            <w:vAlign w:val="center"/>
          </w:tcPr>
          <w:p w14:paraId="2452C390">
            <w:pPr>
              <w:keepNext w:val="0"/>
              <w:keepLines w:val="0"/>
              <w:pageBreakBefore w:val="0"/>
              <w:shd w:val="clear"/>
              <w:kinsoku/>
              <w:overflowPunct/>
              <w:topLinePunct w:val="0"/>
              <w:autoSpaceDE/>
              <w:autoSpaceDN/>
              <w:bidi w:val="0"/>
              <w:adjustRightInd/>
              <w:spacing w:line="380" w:lineRule="exact"/>
              <w:ind w:firstLine="210" w:firstLineChars="1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c>
          <w:tcPr>
            <w:tcW w:w="1546" w:type="dxa"/>
            <w:noWrap w:val="0"/>
            <w:vAlign w:val="center"/>
          </w:tcPr>
          <w:p w14:paraId="26706C42">
            <w:pPr>
              <w:keepNext w:val="0"/>
              <w:keepLines w:val="0"/>
              <w:pageBreakBefore w:val="0"/>
              <w:shd w:val="clear"/>
              <w:kinsoku/>
              <w:overflowPunct/>
              <w:topLinePunct w:val="0"/>
              <w:autoSpaceDE/>
              <w:autoSpaceDN/>
              <w:bidi w:val="0"/>
              <w:adjustRightInd/>
              <w:spacing w:line="380" w:lineRule="exact"/>
              <w:ind w:firstLine="105" w:firstLineChars="5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0.004%</w:t>
            </w:r>
          </w:p>
        </w:tc>
      </w:tr>
    </w:tbl>
    <w:p w14:paraId="48193E8D">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（3）服务费指定银行账户：</w:t>
      </w:r>
    </w:p>
    <w:p w14:paraId="46830F88">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开户名称：广西国力招标有限公司</w:t>
      </w:r>
    </w:p>
    <w:p w14:paraId="362773A5">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开户银行：广西北部湾银行股份有限公司南宁市白沙支行（网银支付可选广西北部湾银行江南支行）</w:t>
      </w:r>
    </w:p>
    <w:p w14:paraId="212FEB5E">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 xml:space="preserve">银行账号：800109057400039 </w:t>
      </w:r>
    </w:p>
    <w:p w14:paraId="2F14E181">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银行行号：313611002051</w:t>
      </w:r>
    </w:p>
    <w:p w14:paraId="06DAF611">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hAnsi="宋体"/>
          <w:b/>
          <w:color w:val="auto"/>
          <w:highlight w:val="none"/>
        </w:rPr>
      </w:pPr>
      <w:r>
        <w:rPr>
          <w:rFonts w:hint="eastAsia" w:ascii="宋体" w:hAnsi="宋体" w:cs="Courier New"/>
          <w:b/>
          <w:color w:val="auto"/>
          <w:szCs w:val="21"/>
          <w:highlight w:val="none"/>
        </w:rPr>
        <w:t>19.2</w:t>
      </w:r>
      <w:r>
        <w:rPr>
          <w:rFonts w:hint="eastAsia" w:hAnsi="宋体"/>
          <w:b/>
          <w:color w:val="auto"/>
          <w:highlight w:val="none"/>
        </w:rPr>
        <w:t>解释权</w:t>
      </w:r>
    </w:p>
    <w:p w14:paraId="7976F252">
      <w:pPr>
        <w:keepNext w:val="0"/>
        <w:keepLines w:val="0"/>
        <w:pageBreakBefore w:val="0"/>
        <w:shd w:val="clear"/>
        <w:kinsoku/>
        <w:overflowPunct/>
        <w:topLinePunct w:val="0"/>
        <w:autoSpaceDE/>
        <w:autoSpaceDN/>
        <w:bidi w:val="0"/>
        <w:adjustRightInd/>
        <w:snapToGrid/>
        <w:spacing w:line="380" w:lineRule="exact"/>
        <w:ind w:firstLine="404" w:firstLineChars="200"/>
        <w:textAlignment w:val="auto"/>
        <w:rPr>
          <w:rFonts w:hint="eastAsia" w:hAnsi="宋体"/>
          <w:color w:val="auto"/>
          <w:spacing w:val="-4"/>
          <w:highlight w:val="none"/>
        </w:rPr>
      </w:pPr>
      <w:r>
        <w:rPr>
          <w:rFonts w:hint="eastAsia" w:hAnsi="宋体"/>
          <w:color w:val="auto"/>
          <w:spacing w:val="-4"/>
          <w:highlight w:val="none"/>
        </w:rPr>
        <w:t>本竞争性磋商文件是根据国家有关法律、法规以及采购管理的有关规定和参照国际惯例编制，解释权属本采购代理机构。</w:t>
      </w:r>
    </w:p>
    <w:p w14:paraId="77983306">
      <w:pPr>
        <w:keepNext w:val="0"/>
        <w:keepLines w:val="0"/>
        <w:pageBreakBefore w:val="0"/>
        <w:shd w:val="clear"/>
        <w:kinsoku/>
        <w:overflowPunct/>
        <w:topLinePunct w:val="0"/>
        <w:autoSpaceDE/>
        <w:autoSpaceDN/>
        <w:bidi w:val="0"/>
        <w:adjustRightInd/>
        <w:snapToGrid/>
        <w:spacing w:line="380" w:lineRule="exact"/>
        <w:ind w:firstLine="420" w:firstLineChars="200"/>
        <w:textAlignment w:val="auto"/>
        <w:rPr>
          <w:rFonts w:hint="eastAsia" w:hAnsi="宋体"/>
          <w:b/>
          <w:color w:val="auto"/>
          <w:highlight w:val="none"/>
        </w:rPr>
      </w:pPr>
      <w:r>
        <w:rPr>
          <w:rFonts w:hint="eastAsia" w:ascii="宋体" w:hAnsi="宋体" w:cs="Courier New"/>
          <w:b/>
          <w:color w:val="auto"/>
          <w:szCs w:val="21"/>
          <w:highlight w:val="none"/>
        </w:rPr>
        <w:t>19.3</w:t>
      </w:r>
      <w:r>
        <w:rPr>
          <w:rFonts w:hint="eastAsia" w:hAnsi="宋体"/>
          <w:b/>
          <w:color w:val="auto"/>
          <w:highlight w:val="none"/>
        </w:rPr>
        <w:t>有关事宜</w:t>
      </w:r>
    </w:p>
    <w:p w14:paraId="01347290">
      <w:pPr>
        <w:keepNext w:val="0"/>
        <w:keepLines w:val="0"/>
        <w:pageBreakBefore w:val="0"/>
        <w:shd w:val="clear"/>
        <w:kinsoku/>
        <w:overflowPunct/>
        <w:topLinePunct w:val="0"/>
        <w:autoSpaceDE/>
        <w:autoSpaceDN/>
        <w:bidi w:val="0"/>
        <w:adjustRightInd/>
        <w:spacing w:line="380" w:lineRule="exact"/>
        <w:ind w:firstLine="420" w:firstLineChars="200"/>
        <w:textAlignment w:val="auto"/>
        <w:rPr>
          <w:rFonts w:ascii="Calibri" w:hAnsi="宋体" w:eastAsia="宋体" w:cs="Times New Roman"/>
          <w:color w:val="auto"/>
          <w:highlight w:val="none"/>
        </w:rPr>
      </w:pPr>
      <w:r>
        <w:rPr>
          <w:rFonts w:hint="eastAsia" w:ascii="Calibri" w:hAnsi="宋体" w:eastAsia="宋体" w:cs="Times New Roman"/>
          <w:color w:val="auto"/>
          <w:highlight w:val="none"/>
        </w:rPr>
        <w:t>所有与本竞争性磋商文件有关的函电请按下列通讯地址联系：</w:t>
      </w:r>
    </w:p>
    <w:p w14:paraId="475993D7">
      <w:pPr>
        <w:widowControl w:val="0"/>
        <w:shd w:val="clear"/>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广西国力招标有限公司</w:t>
      </w:r>
    </w:p>
    <w:p w14:paraId="041FE79B">
      <w:pPr>
        <w:widowControl w:val="0"/>
        <w:shd w:val="clear"/>
        <w:tabs>
          <w:tab w:val="left" w:pos="1990"/>
        </w:tabs>
        <w:spacing w:line="380" w:lineRule="exact"/>
        <w:ind w:firstLine="420" w:firstLineChars="200"/>
        <w:jc w:val="both"/>
        <w:rPr>
          <w:rFonts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邮政编码：530000</w:t>
      </w:r>
    </w:p>
    <w:p w14:paraId="0D2CA9FD">
      <w:pPr>
        <w:widowControl w:val="0"/>
        <w:shd w:val="clear"/>
        <w:tabs>
          <w:tab w:val="left" w:pos="1990"/>
        </w:tabs>
        <w:spacing w:line="380" w:lineRule="exact"/>
        <w:ind w:firstLine="420" w:firstLineChars="200"/>
        <w:jc w:val="both"/>
        <w:rPr>
          <w:rFonts w:ascii="宋体" w:hAnsi="宋体" w:eastAsia="宋体" w:cs="宋体"/>
          <w:color w:val="auto"/>
          <w:spacing w:val="-4"/>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通讯地址：广西南宁市白沙大道53号松宇时代13楼</w:t>
      </w:r>
    </w:p>
    <w:p w14:paraId="53D6D6FF">
      <w:pPr>
        <w:widowControl w:val="0"/>
        <w:shd w:val="clear"/>
        <w:spacing w:line="380" w:lineRule="exact"/>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电    话：0771—4915558</w:t>
      </w:r>
    </w:p>
    <w:p w14:paraId="62AA4A25">
      <w:pPr>
        <w:widowControl w:val="0"/>
        <w:shd w:val="clear"/>
        <w:tabs>
          <w:tab w:val="left" w:pos="1990"/>
        </w:tabs>
        <w:spacing w:line="380" w:lineRule="exact"/>
        <w:ind w:firstLine="420" w:firstLineChars="200"/>
        <w:jc w:val="both"/>
        <w:rPr>
          <w:rFonts w:ascii="宋体" w:hAnsi="宋体" w:eastAsia="宋体" w:cs="宋体"/>
          <w:b/>
          <w:color w:val="auto"/>
          <w:kern w:val="2"/>
          <w:sz w:val="32"/>
          <w:szCs w:val="32"/>
          <w:highlight w:val="none"/>
          <w:lang w:val="en-US" w:eastAsia="zh-CN" w:bidi="ar-SA"/>
        </w:rPr>
      </w:pPr>
      <w:r>
        <w:rPr>
          <w:rFonts w:hint="eastAsia" w:ascii="宋体" w:hAnsi="宋体" w:eastAsia="宋体" w:cs="宋体"/>
          <w:color w:val="auto"/>
          <w:kern w:val="2"/>
          <w:sz w:val="21"/>
          <w:szCs w:val="21"/>
          <w:highlight w:val="none"/>
          <w:lang w:val="en-US" w:eastAsia="zh-CN" w:bidi="ar-SA"/>
        </w:rPr>
        <w:t>传    真：0771—4915558、4915100</w:t>
      </w:r>
    </w:p>
    <w:p w14:paraId="775DB1D7">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p>
    <w:p w14:paraId="13B001D9">
      <w:pPr>
        <w:keepNext w:val="0"/>
        <w:keepLines w:val="0"/>
        <w:pageBreakBefore w:val="0"/>
        <w:shd w:val="clear"/>
        <w:kinsoku/>
        <w:overflowPunct/>
        <w:topLinePunct w:val="0"/>
        <w:autoSpaceDE/>
        <w:autoSpaceDN/>
        <w:bidi w:val="0"/>
        <w:adjustRightInd/>
        <w:spacing w:line="380" w:lineRule="exact"/>
        <w:jc w:val="center"/>
        <w:textAlignment w:val="auto"/>
        <w:rPr>
          <w:rFonts w:hint="eastAsia" w:ascii="宋体" w:hAnsi="宋体"/>
          <w:b/>
          <w:color w:val="auto"/>
          <w:sz w:val="32"/>
          <w:szCs w:val="32"/>
          <w:highlight w:val="none"/>
        </w:rPr>
      </w:pPr>
      <w:r>
        <w:rPr>
          <w:rFonts w:ascii="宋体" w:hAnsi="宋体"/>
          <w:b/>
          <w:color w:val="auto"/>
          <w:sz w:val="32"/>
          <w:szCs w:val="32"/>
          <w:highlight w:val="none"/>
        </w:rPr>
        <w:br w:type="page"/>
      </w:r>
    </w:p>
    <w:p w14:paraId="6D9B00B3">
      <w:pPr>
        <w:shd w:val="clear"/>
        <w:spacing w:line="400" w:lineRule="exact"/>
        <w:jc w:val="center"/>
        <w:rPr>
          <w:rFonts w:hint="eastAsia" w:ascii="宋体" w:hAnsi="宋体"/>
          <w:b/>
          <w:color w:val="auto"/>
          <w:sz w:val="32"/>
          <w:szCs w:val="32"/>
          <w:highlight w:val="none"/>
        </w:rPr>
      </w:pPr>
    </w:p>
    <w:p w14:paraId="3AA79EBD">
      <w:pPr>
        <w:shd w:val="clear"/>
        <w:spacing w:line="400" w:lineRule="exact"/>
        <w:jc w:val="center"/>
        <w:rPr>
          <w:rFonts w:hint="eastAsia" w:ascii="宋体" w:hAnsi="宋体"/>
          <w:b/>
          <w:color w:val="auto"/>
          <w:sz w:val="32"/>
          <w:szCs w:val="32"/>
          <w:highlight w:val="none"/>
        </w:rPr>
      </w:pPr>
    </w:p>
    <w:p w14:paraId="7F082A5B">
      <w:pPr>
        <w:shd w:val="clear"/>
        <w:spacing w:line="400" w:lineRule="exact"/>
        <w:jc w:val="center"/>
        <w:rPr>
          <w:rFonts w:hint="eastAsia" w:ascii="宋体" w:hAnsi="宋体"/>
          <w:b/>
          <w:color w:val="auto"/>
          <w:sz w:val="32"/>
          <w:szCs w:val="32"/>
          <w:highlight w:val="none"/>
        </w:rPr>
      </w:pPr>
    </w:p>
    <w:p w14:paraId="511486A9">
      <w:pPr>
        <w:shd w:val="clear"/>
        <w:spacing w:line="400" w:lineRule="exact"/>
        <w:jc w:val="center"/>
        <w:rPr>
          <w:rFonts w:hint="eastAsia" w:ascii="宋体" w:hAnsi="宋体"/>
          <w:b/>
          <w:color w:val="auto"/>
          <w:sz w:val="32"/>
          <w:szCs w:val="32"/>
          <w:highlight w:val="none"/>
        </w:rPr>
      </w:pPr>
    </w:p>
    <w:p w14:paraId="43703E84">
      <w:pPr>
        <w:shd w:val="clear"/>
        <w:spacing w:line="400" w:lineRule="exact"/>
        <w:jc w:val="center"/>
        <w:rPr>
          <w:rFonts w:hint="eastAsia" w:ascii="宋体" w:hAnsi="宋体"/>
          <w:b/>
          <w:color w:val="auto"/>
          <w:sz w:val="32"/>
          <w:szCs w:val="32"/>
          <w:highlight w:val="none"/>
        </w:rPr>
      </w:pPr>
    </w:p>
    <w:p w14:paraId="2CD6C5D4">
      <w:pPr>
        <w:shd w:val="clear"/>
        <w:spacing w:line="400" w:lineRule="exact"/>
        <w:jc w:val="center"/>
        <w:rPr>
          <w:rFonts w:hint="eastAsia" w:ascii="宋体" w:hAnsi="宋体"/>
          <w:b/>
          <w:color w:val="auto"/>
          <w:sz w:val="32"/>
          <w:szCs w:val="32"/>
          <w:highlight w:val="none"/>
        </w:rPr>
      </w:pPr>
    </w:p>
    <w:p w14:paraId="668E2C8D">
      <w:pPr>
        <w:shd w:val="clear"/>
        <w:spacing w:line="400" w:lineRule="exact"/>
        <w:jc w:val="center"/>
        <w:rPr>
          <w:rFonts w:hint="eastAsia" w:ascii="宋体" w:hAnsi="宋体"/>
          <w:b/>
          <w:color w:val="auto"/>
          <w:sz w:val="32"/>
          <w:szCs w:val="32"/>
          <w:highlight w:val="none"/>
        </w:rPr>
      </w:pPr>
    </w:p>
    <w:p w14:paraId="19177146">
      <w:pPr>
        <w:shd w:val="clear"/>
        <w:spacing w:line="400" w:lineRule="exact"/>
        <w:jc w:val="center"/>
        <w:rPr>
          <w:rFonts w:hint="eastAsia" w:ascii="宋体" w:hAnsi="宋体"/>
          <w:b/>
          <w:color w:val="auto"/>
          <w:sz w:val="32"/>
          <w:szCs w:val="32"/>
          <w:highlight w:val="none"/>
        </w:rPr>
      </w:pPr>
    </w:p>
    <w:p w14:paraId="13B4E3BB">
      <w:pPr>
        <w:shd w:val="clear"/>
        <w:spacing w:line="400" w:lineRule="exact"/>
        <w:jc w:val="center"/>
        <w:rPr>
          <w:rFonts w:hint="eastAsia" w:ascii="宋体" w:hAnsi="宋体"/>
          <w:b/>
          <w:color w:val="auto"/>
          <w:sz w:val="32"/>
          <w:szCs w:val="32"/>
          <w:highlight w:val="none"/>
        </w:rPr>
      </w:pPr>
    </w:p>
    <w:p w14:paraId="5D3023C6">
      <w:pPr>
        <w:shd w:val="clear"/>
        <w:spacing w:line="400" w:lineRule="exact"/>
        <w:jc w:val="center"/>
        <w:rPr>
          <w:rFonts w:hint="eastAsia" w:ascii="宋体" w:hAnsi="宋体"/>
          <w:b/>
          <w:color w:val="auto"/>
          <w:sz w:val="32"/>
          <w:szCs w:val="32"/>
          <w:highlight w:val="none"/>
        </w:rPr>
      </w:pPr>
    </w:p>
    <w:p w14:paraId="5C7BF1BC">
      <w:pPr>
        <w:shd w:val="clear"/>
        <w:spacing w:line="400" w:lineRule="exact"/>
        <w:jc w:val="center"/>
        <w:rPr>
          <w:rFonts w:hint="eastAsia" w:ascii="宋体" w:hAnsi="宋体"/>
          <w:b/>
          <w:color w:val="auto"/>
          <w:sz w:val="32"/>
          <w:szCs w:val="32"/>
          <w:highlight w:val="none"/>
        </w:rPr>
      </w:pPr>
    </w:p>
    <w:p w14:paraId="06BBFDC3">
      <w:pPr>
        <w:shd w:val="clear"/>
        <w:spacing w:line="400" w:lineRule="exact"/>
        <w:rPr>
          <w:rFonts w:hint="eastAsia" w:ascii="宋体" w:hAnsi="宋体"/>
          <w:b/>
          <w:color w:val="auto"/>
          <w:sz w:val="32"/>
          <w:szCs w:val="32"/>
          <w:highlight w:val="none"/>
        </w:rPr>
      </w:pPr>
    </w:p>
    <w:p w14:paraId="4EBB5A3E">
      <w:pPr>
        <w:pStyle w:val="15"/>
        <w:shd w:val="clear"/>
        <w:rPr>
          <w:rFonts w:hint="eastAsia"/>
          <w:color w:val="auto"/>
          <w:sz w:val="44"/>
          <w:szCs w:val="44"/>
          <w:highlight w:val="none"/>
        </w:rPr>
      </w:pPr>
      <w:bookmarkStart w:id="49" w:name="_Toc476258664"/>
      <w:bookmarkStart w:id="50" w:name="_Toc476258758"/>
      <w:r>
        <w:rPr>
          <w:rFonts w:hint="eastAsia"/>
          <w:color w:val="auto"/>
          <w:sz w:val="44"/>
          <w:szCs w:val="44"/>
          <w:highlight w:val="none"/>
        </w:rPr>
        <w:t>第三章  采购需求</w:t>
      </w:r>
      <w:bookmarkEnd w:id="49"/>
      <w:bookmarkEnd w:id="50"/>
    </w:p>
    <w:p w14:paraId="17AD7CEE">
      <w:pPr>
        <w:keepNext w:val="0"/>
        <w:keepLines w:val="0"/>
        <w:pageBreakBefore w:val="0"/>
        <w:widowControl w:val="0"/>
        <w:shd w:val="clear"/>
        <w:kinsoku/>
        <w:wordWrap/>
        <w:overflowPunct/>
        <w:topLinePunct w:val="0"/>
        <w:autoSpaceDE/>
        <w:autoSpaceDN/>
        <w:bidi w:val="0"/>
        <w:adjustRightInd/>
        <w:snapToGrid/>
        <w:spacing w:line="380" w:lineRule="exact"/>
        <w:jc w:val="center"/>
        <w:textAlignment w:val="auto"/>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4D2A6C8A">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olor w:val="auto"/>
          <w:sz w:val="21"/>
          <w:szCs w:val="21"/>
          <w:highlight w:val="none"/>
          <w:u w:val="single"/>
          <w:lang w:eastAsia="zh-CN"/>
        </w:rPr>
      </w:pPr>
      <w:r>
        <w:rPr>
          <w:rFonts w:hint="eastAsia" w:ascii="宋体" w:hAnsi="宋体"/>
          <w:color w:val="auto"/>
          <w:sz w:val="21"/>
          <w:szCs w:val="21"/>
          <w:highlight w:val="none"/>
        </w:rPr>
        <w:t>一、</w:t>
      </w:r>
      <w:r>
        <w:rPr>
          <w:rFonts w:hint="eastAsia" w:ascii="宋体" w:hAnsi="Courier New" w:eastAsia="宋体" w:cs="Courier New"/>
          <w:color w:val="auto"/>
          <w:kern w:val="2"/>
          <w:sz w:val="21"/>
          <w:szCs w:val="21"/>
          <w:highlight w:val="none"/>
          <w:lang w:val="en-US" w:eastAsia="zh-CN" w:bidi="ar-SA"/>
        </w:rPr>
        <w:t>采购项目编号：</w:t>
      </w:r>
      <w:r>
        <w:rPr>
          <w:rFonts w:hint="eastAsia" w:ascii="宋体" w:hAnsi="Courier New" w:cs="Courier New"/>
          <w:color w:val="auto"/>
          <w:kern w:val="2"/>
          <w:sz w:val="21"/>
          <w:szCs w:val="21"/>
          <w:highlight w:val="none"/>
          <w:lang w:val="en-US" w:eastAsia="zh-CN" w:bidi="ar-SA"/>
        </w:rPr>
        <w:t>GXGL2025S-C647-Z</w:t>
      </w:r>
    </w:p>
    <w:p w14:paraId="7D1E757A">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 w:val="21"/>
          <w:szCs w:val="21"/>
          <w:highlight w:val="none"/>
          <w:u w:val="single"/>
        </w:rPr>
      </w:pPr>
      <w:r>
        <w:rPr>
          <w:rFonts w:hint="eastAsia" w:ascii="宋体" w:hAnsi="宋体"/>
          <w:color w:val="auto"/>
          <w:sz w:val="21"/>
          <w:szCs w:val="21"/>
          <w:highlight w:val="none"/>
        </w:rPr>
        <w:t>二、采购项目类别：</w:t>
      </w:r>
      <w:r>
        <w:rPr>
          <w:rFonts w:hint="eastAsia" w:ascii="宋体" w:hAnsi="宋体"/>
          <w:color w:val="auto"/>
          <w:sz w:val="21"/>
          <w:szCs w:val="21"/>
          <w:highlight w:val="none"/>
          <w:u w:val="single"/>
        </w:rPr>
        <w:t xml:space="preserve">  服务类  </w:t>
      </w:r>
    </w:p>
    <w:p w14:paraId="1FD798DC">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380" w:lineRule="exact"/>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三、采购需求一览表</w:t>
      </w:r>
    </w:p>
    <w:p w14:paraId="5FB60728">
      <w:pPr>
        <w:keepNext w:val="0"/>
        <w:keepLines w:val="0"/>
        <w:pageBreakBefore w:val="0"/>
        <w:widowControl w:val="0"/>
        <w:shd w:val="clear"/>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说明：</w:t>
      </w:r>
    </w:p>
    <w:p w14:paraId="7D8FF7B1">
      <w:pPr>
        <w:keepNext w:val="0"/>
        <w:keepLines w:val="0"/>
        <w:pageBreakBefore w:val="0"/>
        <w:widowControl w:val="0"/>
        <w:shd w:val="clear"/>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本项目需求表中带有“▲”的技术参数或要求为实质性要求，必须满足，竞标响应不得低于该技术指标或要求。未标注“▲”的参数或条款发生负偏离或不响应达</w:t>
      </w:r>
      <w:r>
        <w:rPr>
          <w:rFonts w:hint="eastAsia" w:ascii="宋体" w:hAnsi="宋体"/>
          <w:color w:val="auto"/>
          <w:sz w:val="21"/>
          <w:szCs w:val="21"/>
          <w:highlight w:val="none"/>
          <w:u w:val="single"/>
          <w:lang w:val="en-US" w:eastAsia="zh-CN"/>
        </w:rPr>
        <w:t xml:space="preserve"> 3 </w:t>
      </w:r>
      <w:r>
        <w:rPr>
          <w:rFonts w:hint="eastAsia" w:ascii="宋体" w:hAnsi="宋体"/>
          <w:color w:val="auto"/>
          <w:sz w:val="21"/>
          <w:szCs w:val="21"/>
          <w:highlight w:val="none"/>
        </w:rPr>
        <w:t>项（含）以上的，响应无效。</w:t>
      </w:r>
    </w:p>
    <w:p w14:paraId="71E80E41">
      <w:pPr>
        <w:keepNext w:val="0"/>
        <w:keepLines w:val="0"/>
        <w:pageBreakBefore w:val="0"/>
        <w:widowControl w:val="0"/>
        <w:shd w:val="clear"/>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供应商所竞标货物或服务如国家有强制性要求的按国家规定执行，若执行标准有修改或更新按最新版本执行。</w:t>
      </w:r>
    </w:p>
    <w:p w14:paraId="4F5EC856">
      <w:pPr>
        <w:keepNext w:val="0"/>
        <w:keepLines w:val="0"/>
        <w:pageBreakBefore w:val="0"/>
        <w:widowControl w:val="0"/>
        <w:shd w:val="clear"/>
        <w:kinsoku/>
        <w:wordWrap/>
        <w:overflowPunct/>
        <w:topLinePunct w:val="0"/>
        <w:autoSpaceDE/>
        <w:autoSpaceDN/>
        <w:bidi w:val="0"/>
        <w:adjustRightInd/>
        <w:snapToGrid/>
        <w:spacing w:line="380" w:lineRule="exact"/>
        <w:ind w:firstLine="437"/>
        <w:textAlignment w:val="auto"/>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val="en-US" w:eastAsia="zh-CN"/>
        </w:rPr>
        <w:t>.</w:t>
      </w:r>
      <w:r>
        <w:rPr>
          <w:rFonts w:hint="eastAsia" w:ascii="宋体" w:hAnsi="宋体"/>
          <w:color w:val="auto"/>
          <w:sz w:val="21"/>
          <w:szCs w:val="21"/>
          <w:highlight w:val="none"/>
        </w:rPr>
        <w:t>采购标的对应的中小企业划分标准所属行业：根据《关于印发中小企业划型标准规定的通知》（工信部联企业〔2011〕300号），本次采购标的属于：</w:t>
      </w:r>
      <w:r>
        <w:rPr>
          <w:rFonts w:hint="eastAsia" w:ascii="宋体" w:hAnsi="宋体"/>
          <w:color w:val="auto"/>
          <w:sz w:val="21"/>
          <w:szCs w:val="21"/>
          <w:highlight w:val="none"/>
          <w:u w:val="single"/>
        </w:rPr>
        <w:t>其他未列明行业</w:t>
      </w:r>
      <w:r>
        <w:rPr>
          <w:rFonts w:hint="eastAsia" w:ascii="宋体" w:hAnsi="宋体"/>
          <w:color w:val="auto"/>
          <w:sz w:val="21"/>
          <w:szCs w:val="21"/>
          <w:highlight w:val="none"/>
        </w:rPr>
        <w:t>。</w:t>
      </w:r>
    </w:p>
    <w:p w14:paraId="19115844">
      <w:pPr>
        <w:pStyle w:val="2"/>
        <w:shd w:val="clear"/>
        <w:rPr>
          <w:rFonts w:hint="eastAsia"/>
          <w:color w:val="auto"/>
          <w:highlight w:val="none"/>
        </w:rPr>
      </w:pPr>
    </w:p>
    <w:p w14:paraId="329115EB">
      <w:pPr>
        <w:pStyle w:val="2"/>
        <w:shd w:val="clear"/>
        <w:autoSpaceDE/>
        <w:autoSpaceDN/>
        <w:adjustRightInd/>
        <w:jc w:val="left"/>
        <w:rPr>
          <w:rFonts w:hint="default" w:ascii="宋体" w:hAnsi="宋体"/>
          <w:b/>
          <w:color w:val="auto"/>
          <w:sz w:val="21"/>
          <w:szCs w:val="21"/>
          <w:highlight w:val="none"/>
          <w:lang w:val="en-US" w:eastAsia="zh-CN"/>
        </w:rPr>
      </w:pPr>
      <w:r>
        <w:rPr>
          <w:rFonts w:hint="eastAsia" w:ascii="宋体" w:hAnsi="宋体" w:cs="Arial"/>
          <w:b/>
          <w:color w:val="auto"/>
          <w:sz w:val="21"/>
          <w:szCs w:val="21"/>
          <w:highlight w:val="none"/>
        </w:rPr>
        <w:t>本项目采购预算：人民币</w:t>
      </w:r>
      <w:r>
        <w:rPr>
          <w:rFonts w:hint="eastAsia" w:ascii="宋体" w:hAnsi="宋体"/>
          <w:b/>
          <w:color w:val="auto"/>
          <w:sz w:val="21"/>
          <w:szCs w:val="21"/>
          <w:highlight w:val="none"/>
          <w:lang w:val="en-US" w:eastAsia="zh-CN"/>
        </w:rPr>
        <w:t>53.87万元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6"/>
        <w:gridCol w:w="411"/>
        <w:gridCol w:w="566"/>
        <w:gridCol w:w="600"/>
        <w:gridCol w:w="600"/>
        <w:gridCol w:w="7290"/>
      </w:tblGrid>
      <w:tr w14:paraId="71BAE1BF">
        <w:trPr>
          <w:trHeight w:val="680" w:hRule="atLeast"/>
          <w:jc w:val="center"/>
        </w:trPr>
        <w:tc>
          <w:tcPr>
            <w:tcW w:w="226" w:type="pct"/>
            <w:tcBorders>
              <w:top w:val="single" w:color="auto" w:sz="4" w:space="0"/>
              <w:left w:val="single" w:color="auto" w:sz="4" w:space="0"/>
              <w:bottom w:val="single" w:color="auto" w:sz="4" w:space="0"/>
              <w:right w:val="single" w:color="auto" w:sz="4" w:space="0"/>
            </w:tcBorders>
            <w:noWrap w:val="0"/>
            <w:vAlign w:val="center"/>
          </w:tcPr>
          <w:p w14:paraId="58451743">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项号</w:t>
            </w:r>
          </w:p>
        </w:tc>
        <w:tc>
          <w:tcPr>
            <w:tcW w:w="572" w:type="pct"/>
            <w:gridSpan w:val="2"/>
            <w:tcBorders>
              <w:top w:val="single" w:color="auto" w:sz="4" w:space="0"/>
              <w:left w:val="single" w:color="auto" w:sz="4" w:space="0"/>
              <w:bottom w:val="single" w:color="auto" w:sz="4" w:space="0"/>
              <w:right w:val="single" w:color="auto" w:sz="4" w:space="0"/>
            </w:tcBorders>
            <w:noWrap w:val="0"/>
            <w:vAlign w:val="center"/>
          </w:tcPr>
          <w:p w14:paraId="489DD2B1">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服务</w:t>
            </w:r>
            <w:r>
              <w:rPr>
                <w:rFonts w:hint="eastAsia" w:ascii="宋体" w:hAnsi="宋体" w:eastAsia="宋体" w:cs="宋体"/>
                <w:b/>
                <w:color w:val="auto"/>
                <w:sz w:val="21"/>
                <w:szCs w:val="21"/>
                <w:highlight w:val="none"/>
                <w:lang w:eastAsia="zh-CN"/>
              </w:rPr>
              <w:t>内容</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1074FB43">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285F0949">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3730" w:type="pct"/>
            <w:tcBorders>
              <w:top w:val="single" w:color="auto" w:sz="4" w:space="0"/>
              <w:left w:val="single" w:color="auto" w:sz="4" w:space="0"/>
              <w:bottom w:val="single" w:color="auto" w:sz="4" w:space="0"/>
              <w:right w:val="single" w:color="auto" w:sz="4" w:space="0"/>
            </w:tcBorders>
            <w:noWrap w:val="0"/>
            <w:vAlign w:val="center"/>
          </w:tcPr>
          <w:p w14:paraId="718918BF">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内容和要求</w:t>
            </w:r>
          </w:p>
        </w:tc>
      </w:tr>
      <w:tr w14:paraId="43FB403F">
        <w:trPr>
          <w:trHeight w:val="680" w:hRule="atLeast"/>
          <w:jc w:val="center"/>
        </w:trPr>
        <w:tc>
          <w:tcPr>
            <w:tcW w:w="226" w:type="pct"/>
            <w:tcBorders>
              <w:top w:val="single" w:color="auto" w:sz="4" w:space="0"/>
              <w:left w:val="single" w:color="auto" w:sz="4" w:space="0"/>
              <w:bottom w:val="single" w:color="auto" w:sz="4" w:space="0"/>
              <w:right w:val="single" w:color="auto" w:sz="4" w:space="0"/>
            </w:tcBorders>
            <w:noWrap w:val="0"/>
            <w:vAlign w:val="center"/>
          </w:tcPr>
          <w:p w14:paraId="736D91C9">
            <w:pPr>
              <w:keepNext w:val="0"/>
              <w:keepLines w:val="0"/>
              <w:pageBreakBefore w:val="0"/>
              <w:widowControl w:val="0"/>
              <w:numPr>
                <w:ilvl w:val="0"/>
                <w:numId w:val="0"/>
              </w:numPr>
              <w:shd w:val="clear"/>
              <w:kinsoku/>
              <w:wordWrap/>
              <w:overflowPunct/>
              <w:topLinePunct w:val="0"/>
              <w:autoSpaceDE/>
              <w:autoSpaceDN/>
              <w:bidi w:val="0"/>
              <w:adjustRightInd/>
              <w:snapToGrid/>
              <w:spacing w:line="400" w:lineRule="exact"/>
              <w:ind w:left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572" w:type="pct"/>
            <w:gridSpan w:val="2"/>
            <w:tcBorders>
              <w:top w:val="single" w:color="auto" w:sz="4" w:space="0"/>
              <w:left w:val="single" w:color="auto" w:sz="4" w:space="0"/>
              <w:bottom w:val="single" w:color="auto" w:sz="4" w:space="0"/>
              <w:right w:val="single" w:color="auto" w:sz="4" w:space="0"/>
            </w:tcBorders>
            <w:noWrap w:val="0"/>
            <w:vAlign w:val="center"/>
          </w:tcPr>
          <w:p w14:paraId="6EA11505">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广西制造</w:t>
            </w:r>
          </w:p>
          <w:p w14:paraId="2619FC56">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工程职业</w:t>
            </w:r>
          </w:p>
          <w:p w14:paraId="3E7B08A0">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技术学院40#、41#、42#学生宿舍楼项目（</w:t>
            </w:r>
            <w:r>
              <w:rPr>
                <w:color w:val="auto"/>
                <w:spacing w:val="2"/>
                <w:highlight w:val="none"/>
              </w:rPr>
              <w:t>施工过程造价咨询</w:t>
            </w:r>
            <w:r>
              <w:rPr>
                <w:rFonts w:hint="eastAsia"/>
                <w:color w:val="auto"/>
                <w:spacing w:val="2"/>
                <w:highlight w:val="none"/>
                <w:lang w:eastAsia="zh-CN"/>
              </w:rPr>
              <w:t>、</w:t>
            </w:r>
            <w:r>
              <w:rPr>
                <w:color w:val="auto"/>
                <w:spacing w:val="4"/>
                <w:highlight w:val="none"/>
              </w:rPr>
              <w:t>工</w:t>
            </w:r>
            <w:r>
              <w:rPr>
                <w:color w:val="auto"/>
                <w:spacing w:val="2"/>
                <w:highlight w:val="none"/>
              </w:rPr>
              <w:t>程竣工结算审核</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采购</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1EFD120F">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4" w:type="pct"/>
            <w:tcBorders>
              <w:top w:val="single" w:color="auto" w:sz="4" w:space="0"/>
              <w:left w:val="single" w:color="auto" w:sz="4" w:space="0"/>
              <w:bottom w:val="single" w:color="auto" w:sz="4" w:space="0"/>
              <w:right w:val="single" w:color="auto" w:sz="4" w:space="0"/>
            </w:tcBorders>
            <w:noWrap w:val="0"/>
            <w:vAlign w:val="center"/>
          </w:tcPr>
          <w:p w14:paraId="06309E2A">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w:t>
            </w:r>
          </w:p>
        </w:tc>
        <w:tc>
          <w:tcPr>
            <w:tcW w:w="3730" w:type="pct"/>
            <w:tcBorders>
              <w:top w:val="single" w:color="auto" w:sz="4" w:space="0"/>
              <w:left w:val="single" w:color="auto" w:sz="4" w:space="0"/>
              <w:right w:val="single" w:color="auto" w:sz="4" w:space="0"/>
            </w:tcBorders>
            <w:noWrap w:val="0"/>
            <w:vAlign w:val="top"/>
          </w:tcPr>
          <w:p w14:paraId="3ED3511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一、施工过程跟踪审计</w:t>
            </w:r>
          </w:p>
          <w:p w14:paraId="309A9EC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1.合同执行监督</w:t>
            </w:r>
          </w:p>
          <w:p w14:paraId="400A833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核查施工单位、监理单位是否按合同履职；核算工期偏差，核查延误原因，核算违约金或审</w:t>
            </w:r>
            <w:r>
              <w:rPr>
                <w:rFonts w:hint="eastAsia" w:ascii="宋体" w:hAnsi="宋体" w:cs="宋体"/>
                <w:color w:val="auto"/>
                <w:sz w:val="21"/>
                <w:szCs w:val="21"/>
                <w:highlight w:val="none"/>
                <w:lang w:val="en-US" w:eastAsia="zh-CN"/>
              </w:rPr>
              <w:t>核</w:t>
            </w:r>
            <w:r>
              <w:rPr>
                <w:rFonts w:hint="eastAsia" w:ascii="宋体" w:hAnsi="宋体" w:eastAsia="宋体" w:cs="宋体"/>
                <w:color w:val="auto"/>
                <w:sz w:val="21"/>
                <w:szCs w:val="21"/>
                <w:highlight w:val="none"/>
                <w:lang w:eastAsia="zh-CN"/>
              </w:rPr>
              <w:t>工期索赔合理性；核查职责偏差，监督监理整改签字错误，追究设计失误责任并索赔返工费用；对隐蔽工程验收记录进行跟踪，并留存影像资料，以防范虚假签证情况的发生。</w:t>
            </w:r>
          </w:p>
          <w:p w14:paraId="6E331C2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施工单位的日常履约情况进行全面的、随时的、动态的跟踪和监督，及时发现和判断施工单位的违约情况，合理地预见施工单位可能出现的潜在违约风险，及时处理合同履约过程中的出现的问题，并以周报、月报、季报的形式按照采购人批准的格式向采购人书面报告合同履行情况，以及协助采购人处理采购人与施工单位的相关事宜（局限于合同及造价方面），包括违约预见后的处理以及违约发生后的处理。</w:t>
            </w:r>
          </w:p>
          <w:p w14:paraId="2B2EE84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在实施合同过程中，协助采购人与施工单位按工程需要及时协商签署补充合同或协议。</w:t>
            </w:r>
          </w:p>
          <w:p w14:paraId="095A3DF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对有关合同及造价管理相关的往来函件、会议纪要及工程款项支付签证资料等文件进行分类归档，除随时将文本及有关的电子文档交采购人备存外，还应在结算时交一份完整的文件(包括电子文档)于采购人。</w:t>
            </w:r>
          </w:p>
          <w:p w14:paraId="5A2F06C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加与合同及造价管理相关的各种组织协调会议和例会，并根据需要在会议上提供现场咨询服务。每月提交一份造价控制管理月报，对本月的招标、合约、支付及变更等全过程造价控制工作进行总结，如有异常情况，还需分析原因及提出解决方案。</w:t>
            </w:r>
          </w:p>
          <w:p w14:paraId="2FEE13DE">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若合约当事方对合约有争议，审计机构应负责向采购人、施工单位、供应单位解释合约内容。审计机构还应承担工程保险及保函的审核工作。</w:t>
            </w:r>
          </w:p>
          <w:p w14:paraId="3E05152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2.进度款支付审计（按月/节点，具体以施工合同及采购人要求为准）</w:t>
            </w:r>
          </w:p>
          <w:p w14:paraId="4F618E6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依据监理单位验收合格的施工部位，按月/节点（具体以施工合同及采购人要求为准）定期核定已完成工程量的工程造价，以及根据施工合同规定的付款条件审核工程进度款。</w:t>
            </w:r>
          </w:p>
          <w:p w14:paraId="245A454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核施工单位提交的各种付款申请资料完整性、合理性，现场比对图纸复核工程量，杜绝虚报；按合同计算价款，并根据合同规定做出相关费用的增加或抵扣（如扣除甲供材、违约金），确保支付不超约定比例，并在支付进度款前出具明确审计意见，同时向采购人提供中期及最终结算付款报告。</w:t>
            </w:r>
          </w:p>
          <w:p w14:paraId="1866A3A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3.变更签证审计</w:t>
            </w:r>
          </w:p>
          <w:p w14:paraId="3618EA5C">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项目建造全过程，应根据采购人、监理单位、设计单位或施工单位建议的设计变更、隐蔽工程、现场签证等变更工作进行现场勘验和确认。应按施工合同规定及施工图纸，进行暂定工程量计量工作及计算有关的费用调整额，落实暂定款，调整暂定材料的单价。</w:t>
            </w:r>
          </w:p>
          <w:p w14:paraId="70936CC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当签证发生时，审计机构应及时派遣专业人员到现场核实工程量，测算该签证的费用，并向采购人提出签证的建议和意见，以便采购人给出合理准确的签证意见。</w:t>
            </w:r>
          </w:p>
          <w:p w14:paraId="7F96A4D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应做到：事前审查变更必要性及审批流程；事中现场核查工程量，按合同价或市场价审核单价；应建立变更台账监控总造价，若总造价超预算5%须进行专项报告。</w:t>
            </w:r>
          </w:p>
          <w:p w14:paraId="6591C5A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4.材料设备审计</w:t>
            </w:r>
          </w:p>
          <w:p w14:paraId="70F34AB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只要采购人需要，审计机构应及时向采购人提供涉及本项目的人工、材料、设备等造价信息和与造价控制有关的咨询服务。按采购人要求，根据施工图</w:t>
            </w:r>
            <w:r>
              <w:rPr>
                <w:rFonts w:hint="eastAsia" w:ascii="宋体" w:hAnsi="宋体" w:cs="宋体"/>
                <w:color w:val="auto"/>
                <w:sz w:val="21"/>
                <w:szCs w:val="21"/>
                <w:highlight w:val="none"/>
                <w:lang w:eastAsia="zh-CN"/>
              </w:rPr>
              <w:t>及时</w:t>
            </w:r>
            <w:r>
              <w:rPr>
                <w:rFonts w:hint="eastAsia" w:ascii="宋体" w:hAnsi="宋体" w:eastAsia="宋体" w:cs="宋体"/>
                <w:color w:val="auto"/>
                <w:sz w:val="21"/>
                <w:szCs w:val="21"/>
                <w:highlight w:val="none"/>
                <w:lang w:eastAsia="zh-CN"/>
              </w:rPr>
              <w:t>提供有关建筑材料和机电设备的信息，供采购人选材及订货之用，对承包商的设备、材料报价进行审核并出具设备、材料批价单由采购人审批后作为结算之依据。</w:t>
            </w:r>
          </w:p>
          <w:p w14:paraId="7B4F6EF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应做到：甲供材审采购流程及收发存；乙供材审价格证明真实性，比对合同定价机制，杜绝高价采购；现场核查材料品牌、规格与合同是否一致，防“以次充好”。</w:t>
            </w:r>
          </w:p>
          <w:p w14:paraId="62FD374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5.质量安全关联审计及索赔</w:t>
            </w:r>
          </w:p>
          <w:p w14:paraId="03D2DB02">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审计机构应协助采购人审查评估、协商确定施工单位提出的索赔，并提供专业意见。</w:t>
            </w:r>
          </w:p>
          <w:p w14:paraId="1162B63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协助采购人处理施工过程中提出的各项索赔和反索赔的确认，出席工程变更会议，审核工程量并及时整理提出对索赔的处理意见、对索赔请求的回复及反索赔申请，最大程度地保护采购人的利益不受损失。在因上述索赔和反索赔引起的诉讼或仲裁中，提供有关的合同及造价方面的咨询予采购人及采购人的律师。</w:t>
            </w:r>
          </w:p>
          <w:p w14:paraId="30FB23F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应对隐蔽工程验收工作进行跟踪，若工程质量不合格，须明确返工费的责任承担方；审核安全措施投入情况，明确事故处理费用的承担主体，避免将责任转嫁至学校。</w:t>
            </w:r>
          </w:p>
          <w:p w14:paraId="04229BE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6.提供专业意见</w:t>
            </w:r>
          </w:p>
          <w:p w14:paraId="27530DF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按采购人要求出席与所提供服务相关的工程会议包括合同交底会和管理例会、现场会、专题讨论会等，提供专业意见以解决问题。</w:t>
            </w:r>
          </w:p>
          <w:p w14:paraId="6AEAAB94">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定期提供与本项目相关的材料市场参考价格分析，进行动态成本控制。</w:t>
            </w:r>
          </w:p>
          <w:p w14:paraId="3FCB7AA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对审计期间发现的违法违规等事项及时向采购人进行反馈。</w:t>
            </w:r>
          </w:p>
          <w:p w14:paraId="70FF5FDE">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二、竣工结算阶段审计</w:t>
            </w:r>
          </w:p>
          <w:p w14:paraId="51C611C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依据施工图纸、设计变更洽商、有关索赔文件及工程验收报告审查由施工单位编制和报送的竣工结算文件，对竣工结算文件的依据性、完整性、合理性和正确性进行审查，编制项目竣工结算审核报告，并同采购人一起与施工单位进行谈判，按采购人与施工单位最终确定的结算总价，编制要求份数的工程结算书。协助采购人处理与工程造价审计相关的事宜，提供工程缺陷的造价评估及扣款意见、提供造价指标分析及造价控制效果分析报告、本阶段的其他相关工作，结算审核工作要求：</w:t>
            </w:r>
          </w:p>
          <w:p w14:paraId="16B8A8A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1.结算资料审计</w:t>
            </w:r>
          </w:p>
          <w:p w14:paraId="76486EE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招标文件及各项合同中有关造价条款的合规性、合理性和一致性等。工程实施过程中发生的设计变更和现场签证有效性、合理性、合规性、必要性等。</w:t>
            </w:r>
          </w:p>
          <w:p w14:paraId="708FF42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审核资料完整性、合理性，审查竣工图是否与现场一致、签证真实性、材料证明有效性。</w:t>
            </w:r>
          </w:p>
          <w:p w14:paraId="7CBD4732">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2.工程量复核</w:t>
            </w:r>
          </w:p>
          <w:p w14:paraId="31F01AC4">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关键分项（主体、防水、消防等）全复核，</w:t>
            </w:r>
          </w:p>
          <w:p w14:paraId="5190CEC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非关键项抽样复核，采用“现场丈量+图纸计算”的方式，以防多算。</w:t>
            </w:r>
          </w:p>
          <w:p w14:paraId="6DD6705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工程实施过程中发生的设计变更和现场签证是否有重复计量，变更签证能否准确计量。</w:t>
            </w:r>
          </w:p>
          <w:p w14:paraId="03F53C7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提供签章确认的结算工程量计算底稿。</w:t>
            </w:r>
          </w:p>
          <w:p w14:paraId="306F29F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3.单价与费用审计</w:t>
            </w:r>
          </w:p>
          <w:p w14:paraId="1EEB4A36">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合同内项目按约定价，合同外项目应审核组价依据；审核措施费、规费、税金及其他费用。</w:t>
            </w:r>
          </w:p>
          <w:p w14:paraId="7B70B61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4.总价调整与报告</w:t>
            </w:r>
          </w:p>
          <w:p w14:paraId="2711057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汇总工程量与单价，扣除进度款、甲供材、违约金得出最终审核价；超支部分应书面分析原因，同时出具审计报告并签字盖章（按国家及行业现行规定执行）使其具有法律效力。</w:t>
            </w:r>
          </w:p>
          <w:p w14:paraId="4FBFD75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5.审计机构审核时遇到以下情况应当获取必要的证据：</w:t>
            </w:r>
          </w:p>
          <w:p w14:paraId="3DC9C8F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(1)施工情况与认可的竣工图纸不符；</w:t>
            </w:r>
          </w:p>
          <w:p w14:paraId="493501EC">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(2)实物工程量与认可的竣工图纸不符；</w:t>
            </w:r>
          </w:p>
          <w:p w14:paraId="4F93526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(3)主要材料等级发生变化；</w:t>
            </w:r>
          </w:p>
          <w:p w14:paraId="29C8E9C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(4)施工情况与施工合同不符；</w:t>
            </w:r>
          </w:p>
          <w:p w14:paraId="7A9202C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(5)工程结算价超过合同价；</w:t>
            </w:r>
          </w:p>
          <w:p w14:paraId="7541913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(6)审核中，应对分部和分项工程、变更设计的工程、必须丈量的工程项目等进行现场查看核实；</w:t>
            </w:r>
          </w:p>
          <w:p w14:paraId="3DF13202">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(7)及时披露重大结算问题；</w:t>
            </w:r>
          </w:p>
          <w:p w14:paraId="0633AE9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(8)参与采购人组织的审核会议、各种对数；</w:t>
            </w:r>
          </w:p>
          <w:p w14:paraId="78458EA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(9)出具符合采购人要求的结算审核报告；</w:t>
            </w:r>
          </w:p>
          <w:p w14:paraId="6DE3417C">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(10)按采购人规定的格式提交结算造价指标信息。</w:t>
            </w:r>
          </w:p>
          <w:p w14:paraId="72D19F8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三、竣工后服务</w:t>
            </w:r>
          </w:p>
          <w:p w14:paraId="63A1A524">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1.绩效辅助评价</w:t>
            </w:r>
          </w:p>
          <w:p w14:paraId="18A2A88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对比预算、合同、结算价，分析偏差率，总结控价经验，提出后续项目建议。</w:t>
            </w:r>
          </w:p>
          <w:p w14:paraId="2B8E3A9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2.资料归档与配合</w:t>
            </w:r>
          </w:p>
          <w:p w14:paraId="3A1F835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整理审计底稿备案，配合学校内审、外部检查（此项服务并不因本项目服务期限的终止而结束，而是贯穿该工程的整个生命周期）。</w:t>
            </w:r>
          </w:p>
          <w:p w14:paraId="63EB876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四、沟通协调</w:t>
            </w:r>
          </w:p>
          <w:p w14:paraId="143B845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每季度向采购人报送《审计季报》，内容包含但不限于：季度工作内容、出现的问题、造价控制情况分析与总结。如遇重大问题，审计机构应在24小时内向采购人报送《紧急快报》。审计机构应定期组织多方协调会，解决项目实施过程中遇到的争议，并形成书面纪要，同时报送采购人存档。</w:t>
            </w:r>
          </w:p>
          <w:p w14:paraId="2781739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审计机构应配备专属团队，具体如下：</w:t>
            </w:r>
          </w:p>
          <w:p w14:paraId="470C852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项目负责人须持有一级注册造价工程师证书且具有工程类或工程经济类中级及以上职称，同时具有3年以上同类项目（房屋建筑类工程审计或造价咨询服务）经验，且为审计机构自有员工，且不得同时担任其他在建工程项目的项目负责人。（竞标时应附上以下文件，否则竞标无效：①项目负责人身份证复印件；②注册执业资格证书复印件；③职称证书复印件；④</w:t>
            </w:r>
            <w:r>
              <w:rPr>
                <w:rFonts w:hint="eastAsia"/>
                <w:color w:val="auto"/>
                <w:highlight w:val="none"/>
                <w:lang w:val="en-US" w:eastAsia="zh-CN"/>
              </w:rPr>
              <w:t>近1个月（2025年6月至投标截止时间止任意一个月）在现任职单位依法缴纳社会保险证明材料的复印件</w:t>
            </w:r>
            <w:r>
              <w:rPr>
                <w:rFonts w:hint="eastAsia" w:ascii="宋体" w:hAnsi="宋体" w:eastAsia="宋体" w:cs="宋体"/>
                <w:color w:val="auto"/>
                <w:sz w:val="21"/>
                <w:szCs w:val="21"/>
                <w:highlight w:val="none"/>
                <w:lang w:eastAsia="zh-CN"/>
              </w:rPr>
              <w:t>，如依法不需要缴纳社会保障资金的，应提供相应文件证明其依法不需要缴纳社会保障资金等相关材料复印件（已退休人员须提供退休证明及劳动合同等相关材料复印件））</w:t>
            </w:r>
          </w:p>
          <w:p w14:paraId="36427FB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配备的其他审核人员数量应能满足项目要求，具有良好的职业道德，具有较强的专业技术水平和较强沟通协调能力，且均需要有房屋建筑类工程审计或造价咨询服务经验。服务有效期内，采购人认为审计机构实际投入的人员不能满足任务需要或认为人员不称职时，可向审计机构发出要求增加或更换（必要时可指定）人员的通知，审计机构在收到通知后的5日历日内应增加或更换相应的人员，由此产生的费用由审计机构自行承担。</w:t>
            </w:r>
          </w:p>
          <w:p w14:paraId="08CEFC4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驻场要求：施工高峰期、关键节点及特殊分部工程施工期间，每周驻场≥1天（按具体情况以采购人要求配备），保障造价可控合规。驻场费用已包含在总报价中。</w:t>
            </w:r>
          </w:p>
          <w:p w14:paraId="5042B89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 w:val="21"/>
                <w:szCs w:val="21"/>
                <w:highlight w:val="none"/>
                <w:lang w:val="en-US" w:eastAsia="zh-CN"/>
              </w:rPr>
              <w:t>2.进行</w:t>
            </w:r>
            <w:r>
              <w:rPr>
                <w:rFonts w:hint="eastAsia" w:ascii="宋体" w:hAnsi="宋体" w:cs="宋体"/>
                <w:color w:val="auto"/>
                <w:szCs w:val="21"/>
                <w:highlight w:val="none"/>
              </w:rPr>
              <w:t>潜在</w:t>
            </w:r>
            <w:r>
              <w:rPr>
                <w:rFonts w:hint="eastAsia" w:ascii="宋体" w:hAnsi="宋体" w:cs="宋体"/>
                <w:color w:val="auto"/>
                <w:szCs w:val="21"/>
                <w:highlight w:val="none"/>
                <w:lang w:eastAsia="zh-CN"/>
              </w:rPr>
              <w:t>审计问题</w:t>
            </w:r>
            <w:r>
              <w:rPr>
                <w:rFonts w:hint="eastAsia" w:ascii="宋体" w:hAnsi="宋体" w:cs="宋体"/>
                <w:color w:val="auto"/>
                <w:szCs w:val="21"/>
                <w:highlight w:val="none"/>
              </w:rPr>
              <w:t>风险</w:t>
            </w:r>
            <w:r>
              <w:rPr>
                <w:rFonts w:hint="eastAsia" w:ascii="宋体" w:hAnsi="宋体" w:cs="宋体"/>
                <w:color w:val="auto"/>
                <w:szCs w:val="21"/>
                <w:highlight w:val="none"/>
                <w:lang w:eastAsia="zh-CN"/>
              </w:rPr>
              <w:t>分析预警</w:t>
            </w:r>
          </w:p>
          <w:p w14:paraId="4B3DAA9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必须在合同签订后（成交后）</w:t>
            </w:r>
            <w:r>
              <w:rPr>
                <w:rFonts w:hint="eastAsia" w:ascii="宋体" w:hAnsi="宋体" w:cs="宋体"/>
                <w:color w:val="auto"/>
                <w:szCs w:val="21"/>
                <w:highlight w:val="none"/>
                <w:shd w:val="clear"/>
                <w:lang w:val="en-US" w:eastAsia="zh-CN"/>
              </w:rPr>
              <w:t>2</w:t>
            </w:r>
            <w:r>
              <w:rPr>
                <w:rFonts w:hint="eastAsia" w:ascii="宋体" w:hAnsi="宋体" w:cs="宋体"/>
                <w:color w:val="auto"/>
                <w:szCs w:val="21"/>
                <w:highlight w:val="none"/>
                <w:shd w:val="clear"/>
              </w:rPr>
              <w:t>个月内</w:t>
            </w:r>
            <w:r>
              <w:rPr>
                <w:rFonts w:hint="eastAsia" w:ascii="宋体" w:hAnsi="宋体" w:cs="宋体"/>
                <w:color w:val="auto"/>
                <w:szCs w:val="21"/>
                <w:highlight w:val="none"/>
              </w:rPr>
              <w:t>，从应当审计的全部具体事项中着重筛选出20项需重点监控的事项，形成以</w:t>
            </w:r>
            <w:r>
              <w:rPr>
                <w:rFonts w:hint="eastAsia" w:ascii="宋体" w:hAnsi="宋体" w:cs="宋体"/>
                <w:color w:val="auto"/>
                <w:szCs w:val="21"/>
                <w:highlight w:val="none"/>
                <w:lang w:eastAsia="zh-CN"/>
              </w:rPr>
              <w:t>审计</w:t>
            </w:r>
            <w:r>
              <w:rPr>
                <w:rFonts w:hint="eastAsia" w:ascii="宋体" w:hAnsi="宋体" w:cs="宋体"/>
                <w:color w:val="auto"/>
                <w:szCs w:val="21"/>
                <w:highlight w:val="none"/>
              </w:rPr>
              <w:t>时间先后为序的重点审计事项一览图表，并交予采购人（</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需在合同签订后</w:t>
            </w:r>
            <w:r>
              <w:rPr>
                <w:rFonts w:hint="eastAsia" w:ascii="宋体" w:hAnsi="宋体" w:cs="宋体"/>
                <w:color w:val="auto"/>
                <w:szCs w:val="21"/>
                <w:highlight w:val="none"/>
                <w:shd w:val="clear"/>
                <w:lang w:val="en-US" w:eastAsia="zh-CN"/>
              </w:rPr>
              <w:t>1</w:t>
            </w:r>
            <w:r>
              <w:rPr>
                <w:rFonts w:hint="eastAsia" w:ascii="宋体" w:hAnsi="宋体" w:cs="宋体"/>
                <w:color w:val="auto"/>
                <w:szCs w:val="21"/>
                <w:highlight w:val="none"/>
                <w:shd w:val="clear"/>
              </w:rPr>
              <w:t>个</w:t>
            </w:r>
            <w:r>
              <w:rPr>
                <w:rFonts w:hint="eastAsia" w:ascii="宋体" w:hAnsi="宋体" w:cs="宋体"/>
                <w:color w:val="auto"/>
                <w:szCs w:val="21"/>
                <w:highlight w:val="none"/>
                <w:shd w:val="clear"/>
                <w:lang w:val="en-US" w:eastAsia="zh-CN"/>
              </w:rPr>
              <w:t>月</w:t>
            </w:r>
            <w:r>
              <w:rPr>
                <w:rFonts w:hint="eastAsia" w:ascii="宋体" w:hAnsi="宋体" w:cs="宋体"/>
                <w:color w:val="auto"/>
                <w:szCs w:val="21"/>
                <w:highlight w:val="none"/>
                <w:shd w:val="clear"/>
              </w:rPr>
              <w:t>内</w:t>
            </w:r>
            <w:r>
              <w:rPr>
                <w:rFonts w:hint="eastAsia" w:ascii="宋体" w:hAnsi="宋体" w:cs="宋体"/>
                <w:color w:val="auto"/>
                <w:szCs w:val="21"/>
                <w:highlight w:val="none"/>
              </w:rPr>
              <w:t>将重点审计事项一览图表的设计框架样式报送采购人审核确认）。</w:t>
            </w:r>
          </w:p>
          <w:p w14:paraId="2EEF86C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重点审计事项一览图表应至少涵盖以下核心内容：</w:t>
            </w:r>
          </w:p>
          <w:p w14:paraId="76C989C6">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（1）明确这20个重点监控事项的风险情形、计划</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审计</w:t>
            </w:r>
            <w:r>
              <w:rPr>
                <w:rFonts w:hint="eastAsia" w:ascii="宋体" w:hAnsi="宋体" w:cs="宋体"/>
                <w:color w:val="auto"/>
                <w:szCs w:val="21"/>
                <w:highlight w:val="none"/>
                <w:lang w:val="en-US" w:eastAsia="zh-CN"/>
              </w:rPr>
              <w:t>作业的节点</w:t>
            </w:r>
            <w:r>
              <w:rPr>
                <w:rFonts w:hint="eastAsia" w:ascii="宋体" w:hAnsi="宋体" w:cs="宋体"/>
                <w:color w:val="auto"/>
                <w:szCs w:val="21"/>
                <w:highlight w:val="none"/>
              </w:rPr>
              <w:t>、审计规程、审计操作要点；</w:t>
            </w:r>
          </w:p>
          <w:p w14:paraId="6878EE2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（2）针对每个重点审计事项，写明</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预期能提供以自证审计方切实履行职责的具象化</w:t>
            </w:r>
            <w:r>
              <w:rPr>
                <w:rFonts w:hint="eastAsia" w:ascii="宋体" w:hAnsi="宋体" w:cs="宋体"/>
                <w:color w:val="auto"/>
                <w:szCs w:val="21"/>
                <w:highlight w:val="none"/>
                <w:lang w:eastAsia="zh-CN"/>
              </w:rPr>
              <w:t>佐证</w:t>
            </w:r>
            <w:r>
              <w:rPr>
                <w:rFonts w:hint="eastAsia" w:ascii="宋体" w:hAnsi="宋体" w:cs="宋体"/>
                <w:color w:val="auto"/>
                <w:szCs w:val="21"/>
                <w:highlight w:val="none"/>
              </w:rPr>
              <w:t>材料目录（清单）明细；</w:t>
            </w:r>
          </w:p>
          <w:p w14:paraId="08DA1446">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（3）为每个重点监控事项均附1个实践案例或公开报道案例，并对案例的来源进行说明，如是网上公开报道</w:t>
            </w:r>
            <w:r>
              <w:rPr>
                <w:rFonts w:hint="eastAsia" w:ascii="宋体" w:hAnsi="宋体" w:cs="宋体"/>
                <w:color w:val="auto"/>
                <w:szCs w:val="21"/>
                <w:highlight w:val="none"/>
                <w:lang w:eastAsia="zh-CN"/>
              </w:rPr>
              <w:t>或公开出版物中</w:t>
            </w:r>
            <w:r>
              <w:rPr>
                <w:rFonts w:hint="eastAsia" w:ascii="宋体" w:hAnsi="宋体" w:cs="宋体"/>
                <w:color w:val="auto"/>
                <w:szCs w:val="21"/>
                <w:highlight w:val="none"/>
              </w:rPr>
              <w:t>的案例则注明网址链接</w:t>
            </w:r>
            <w:r>
              <w:rPr>
                <w:rFonts w:hint="eastAsia" w:ascii="宋体" w:hAnsi="宋体" w:cs="宋体"/>
                <w:color w:val="auto"/>
                <w:szCs w:val="21"/>
                <w:highlight w:val="none"/>
                <w:lang w:eastAsia="zh-CN"/>
              </w:rPr>
              <w:t>或出版物详细信息</w:t>
            </w:r>
            <w:r>
              <w:rPr>
                <w:rFonts w:hint="eastAsia" w:ascii="宋体" w:hAnsi="宋体" w:cs="宋体"/>
                <w:color w:val="auto"/>
                <w:szCs w:val="21"/>
                <w:highlight w:val="none"/>
              </w:rPr>
              <w:t>，如非公开案例则</w:t>
            </w:r>
            <w:r>
              <w:rPr>
                <w:rFonts w:hint="eastAsia" w:ascii="宋体" w:hAnsi="宋体" w:cs="宋体"/>
                <w:color w:val="auto"/>
                <w:szCs w:val="21"/>
                <w:highlight w:val="none"/>
                <w:lang w:eastAsia="zh-CN"/>
              </w:rPr>
              <w:t>需按要求进行内容脱敏处理并对案例来源进行必要</w:t>
            </w:r>
            <w:r>
              <w:rPr>
                <w:rFonts w:hint="eastAsia" w:ascii="宋体" w:hAnsi="宋体" w:cs="宋体"/>
                <w:color w:val="auto"/>
                <w:szCs w:val="21"/>
                <w:highlight w:val="none"/>
              </w:rPr>
              <w:t>说明；</w:t>
            </w:r>
          </w:p>
          <w:p w14:paraId="5D6A30E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从审计角度</w:t>
            </w:r>
            <w:r>
              <w:rPr>
                <w:rFonts w:hint="eastAsia" w:ascii="宋体" w:hAnsi="宋体" w:cs="宋体"/>
                <w:color w:val="auto"/>
                <w:szCs w:val="21"/>
                <w:highlight w:val="none"/>
              </w:rPr>
              <w:t>解读每个案例的违约违规违法情形；</w:t>
            </w:r>
          </w:p>
          <w:p w14:paraId="5D82728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从审计角度</w:t>
            </w:r>
            <w:r>
              <w:rPr>
                <w:rFonts w:hint="eastAsia" w:ascii="宋体" w:hAnsi="宋体" w:cs="宋体"/>
                <w:color w:val="auto"/>
                <w:szCs w:val="21"/>
                <w:highlight w:val="none"/>
              </w:rPr>
              <w:t>剖析每个案例的责任方具体操作或潜在违规操作的路径（潜在风险行为预判）；</w:t>
            </w:r>
          </w:p>
          <w:p w14:paraId="6E5D25C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（6）写明针对每个案例情形的直接有效的甄别方法及标准化的审计操作流程；</w:t>
            </w:r>
          </w:p>
          <w:p w14:paraId="4CB3D6A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从审计角度</w:t>
            </w:r>
            <w:r>
              <w:rPr>
                <w:rFonts w:hint="eastAsia" w:ascii="宋体" w:hAnsi="宋体" w:cs="宋体"/>
                <w:color w:val="auto"/>
                <w:szCs w:val="21"/>
                <w:highlight w:val="none"/>
              </w:rPr>
              <w:t>对破解每个案例违约违规违法手法的核心步骤和关键技术方法进行科学严谨性论证；</w:t>
            </w:r>
          </w:p>
          <w:p w14:paraId="2E1A5EF6">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（8）结合采购人现实条件和实际情况，</w:t>
            </w:r>
            <w:r>
              <w:rPr>
                <w:rFonts w:hint="eastAsia" w:ascii="宋体" w:hAnsi="宋体" w:cs="宋体"/>
                <w:color w:val="auto"/>
                <w:szCs w:val="21"/>
                <w:highlight w:val="none"/>
                <w:lang w:eastAsia="zh-CN"/>
              </w:rPr>
              <w:t>从审计角度</w:t>
            </w:r>
            <w:r>
              <w:rPr>
                <w:rFonts w:hint="eastAsia" w:ascii="宋体" w:hAnsi="宋体" w:cs="宋体"/>
                <w:color w:val="auto"/>
                <w:szCs w:val="21"/>
                <w:highlight w:val="none"/>
              </w:rPr>
              <w:t>给出每个案例情形的切实可行且具备现实可操作性的防范管控措施建议；</w:t>
            </w:r>
          </w:p>
          <w:p w14:paraId="19F0B76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在采购人提供</w:t>
            </w:r>
            <w:r>
              <w:rPr>
                <w:rFonts w:hint="eastAsia" w:ascii="宋体" w:hAnsi="宋体" w:cs="宋体"/>
                <w:color w:val="auto"/>
                <w:szCs w:val="21"/>
                <w:highlight w:val="none"/>
              </w:rPr>
              <w:t>施工进度计划的网络图或横道图</w:t>
            </w:r>
            <w:r>
              <w:rPr>
                <w:rFonts w:hint="eastAsia" w:ascii="宋体" w:hAnsi="宋体" w:cs="宋体"/>
                <w:color w:val="auto"/>
                <w:szCs w:val="21"/>
                <w:highlight w:val="none"/>
                <w:lang w:eastAsia="zh-CN"/>
              </w:rPr>
              <w:t>的情况下</w:t>
            </w:r>
            <w:r>
              <w:rPr>
                <w:rFonts w:hint="eastAsia" w:ascii="宋体" w:hAnsi="宋体" w:cs="宋体"/>
                <w:color w:val="auto"/>
                <w:szCs w:val="21"/>
                <w:highlight w:val="none"/>
              </w:rPr>
              <w:t>，</w:t>
            </w:r>
            <w:r>
              <w:rPr>
                <w:rFonts w:hint="eastAsia" w:ascii="宋体" w:hAnsi="宋体" w:cs="宋体"/>
                <w:color w:val="auto"/>
                <w:szCs w:val="21"/>
                <w:highlight w:val="none"/>
                <w:lang w:eastAsia="zh-CN"/>
              </w:rPr>
              <w:t>成交供应商还需</w:t>
            </w:r>
            <w:r>
              <w:rPr>
                <w:rFonts w:hint="eastAsia" w:ascii="宋体" w:hAnsi="宋体" w:cs="宋体"/>
                <w:color w:val="auto"/>
                <w:szCs w:val="21"/>
                <w:highlight w:val="none"/>
              </w:rPr>
              <w:t>按预计开展审计作业的时间或节点，</w:t>
            </w:r>
            <w:r>
              <w:rPr>
                <w:rFonts w:hint="eastAsia" w:ascii="宋体" w:hAnsi="宋体" w:cs="宋体"/>
                <w:color w:val="auto"/>
                <w:szCs w:val="21"/>
                <w:highlight w:val="none"/>
                <w:lang w:eastAsia="zh-CN"/>
              </w:rPr>
              <w:t>在对应的</w:t>
            </w:r>
            <w:r>
              <w:rPr>
                <w:rFonts w:hint="eastAsia" w:ascii="宋体" w:hAnsi="宋体" w:cs="宋体"/>
                <w:color w:val="auto"/>
                <w:szCs w:val="21"/>
                <w:highlight w:val="none"/>
              </w:rPr>
              <w:t>网络图或横道图</w:t>
            </w:r>
            <w:r>
              <w:rPr>
                <w:rFonts w:hint="eastAsia" w:ascii="宋体" w:hAnsi="宋体" w:cs="宋体"/>
                <w:color w:val="auto"/>
                <w:szCs w:val="21"/>
                <w:highlight w:val="none"/>
                <w:lang w:eastAsia="zh-CN"/>
              </w:rPr>
              <w:t>上</w:t>
            </w:r>
            <w:r>
              <w:rPr>
                <w:rFonts w:hint="eastAsia" w:ascii="宋体" w:hAnsi="宋体" w:cs="宋体"/>
                <w:color w:val="auto"/>
                <w:szCs w:val="21"/>
                <w:highlight w:val="none"/>
              </w:rPr>
              <w:t>直观标出相关审计内容；</w:t>
            </w:r>
          </w:p>
          <w:p w14:paraId="5EA504C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rPr>
              <w:t>（10）在审计服务过程中，发现重点审计事项一览图表内容有错误或疏漏时，必须在5个工作日内完成修正。</w:t>
            </w:r>
          </w:p>
          <w:p w14:paraId="59C8799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五、其他需要全过程审计参与的工作</w:t>
            </w:r>
          </w:p>
          <w:p w14:paraId="60DC4D66">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根据项目实施过程中出现的其他不在上述范围内的归属于全过程跟踪审计的工作需按照相关文件及要求进行处理。</w:t>
            </w:r>
          </w:p>
        </w:tc>
      </w:tr>
      <w:tr w14:paraId="44323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85"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58BBDDE5">
            <w:pPr>
              <w:keepNext w:val="0"/>
              <w:keepLines w:val="0"/>
              <w:pageBreakBefore w:val="0"/>
              <w:widowControl w:val="0"/>
              <w:shd w:val="clear"/>
              <w:kinsoku/>
              <w:wordWrap/>
              <w:overflowPunct/>
              <w:topLinePunct w:val="0"/>
              <w:autoSpaceDE/>
              <w:autoSpaceDN/>
              <w:bidi w:val="0"/>
              <w:adjustRightInd/>
              <w:snapToGrid/>
              <w:spacing w:line="400" w:lineRule="exact"/>
              <w:ind w:left="0" w:firstLine="0" w:firstLineChars="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商务要求</w:t>
            </w:r>
            <w:r>
              <w:rPr>
                <w:rFonts w:hint="eastAsia" w:ascii="宋体" w:hAnsi="宋体" w:eastAsia="宋体" w:cs="宋体"/>
                <w:bCs/>
                <w:color w:val="auto"/>
                <w:sz w:val="21"/>
                <w:szCs w:val="21"/>
                <w:highlight w:val="none"/>
                <w:lang w:eastAsia="zh-CN"/>
              </w:rPr>
              <w:t>表</w:t>
            </w:r>
          </w:p>
        </w:tc>
      </w:tr>
      <w:tr w14:paraId="76E42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BB6FB8C">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▲质量要求</w:t>
            </w:r>
          </w:p>
        </w:tc>
        <w:tc>
          <w:tcPr>
            <w:tcW w:w="44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8B9F43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1.安排的人员必须相对固定，审计过程中不得更换，如确需变动人员，应提交书面申请并报经采购人同意，否则采购人有权终止合同，同时追究审计机构给采购人造成的工作延误责任，并赔偿相应的经济损失。</w:t>
            </w:r>
          </w:p>
          <w:p w14:paraId="560C8CF1">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2.如果广西制造工程职业技术学院审计部门对项目负责人提出指定要求的，应尽可能满足要求。</w:t>
            </w:r>
          </w:p>
        </w:tc>
      </w:tr>
      <w:tr w14:paraId="7884C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66F08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▲服务要求</w:t>
            </w:r>
          </w:p>
        </w:tc>
        <w:tc>
          <w:tcPr>
            <w:tcW w:w="44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2B4E9C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工作程序要求</w:t>
            </w:r>
          </w:p>
          <w:p w14:paraId="4D0026C1">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（1）送审的全部资料包括审核中的补充资料，须经采购人内审部门工作人员提供给中介机构审计人员，审计机构审计人员不得直接接收学校审计处以外的其他单位补办的签证及其它资料。</w:t>
            </w:r>
          </w:p>
          <w:p w14:paraId="6D5067F2">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采购人要求，对送审材料进行审核并出具正式的审核报告。项目成果提交要求：出具结算审计报告；提交审计发现问题清单，并汇总；提交审计工作底稿、审计证据及相关电子文档，并提供完整的纸质审计档案资料（具体份数由采购人根据工程项目情况确定）。</w:t>
            </w:r>
          </w:p>
          <w:p w14:paraId="6B44D0E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施工过程造价咨询、工程结算审核、全过程跟踪审核要严格遵守《工程造价咨询单位执业行为准则》《造价工程师职业道德行为准则》等行业准则，审计行为和质量要求执行审计署颁布的《国家审计准则》（第</w:t>
            </w:r>
            <w:r>
              <w:rPr>
                <w:rFonts w:hint="default" w:ascii="宋体" w:hAnsi="宋体" w:eastAsia="宋体" w:cs="宋体"/>
                <w:color w:val="auto"/>
                <w:sz w:val="21"/>
                <w:szCs w:val="21"/>
                <w:highlight w:val="none"/>
                <w:lang w:eastAsia="zh-CN"/>
              </w:rPr>
              <w:t>8</w:t>
            </w:r>
            <w:r>
              <w:rPr>
                <w:rFonts w:hint="eastAsia" w:ascii="宋体" w:hAnsi="宋体" w:eastAsia="宋体" w:cs="宋体"/>
                <w:color w:val="auto"/>
                <w:sz w:val="21"/>
                <w:szCs w:val="21"/>
                <w:highlight w:val="none"/>
                <w:lang w:eastAsia="zh-CN"/>
              </w:rPr>
              <w:t>号令），并在此基础上对上述委托事项发表专项审计意见。</w:t>
            </w:r>
          </w:p>
          <w:p w14:paraId="26BC68E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处理问题响应时间：接到采购人处理问题通知后</w:t>
            </w: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小时内响应，</w:t>
            </w:r>
            <w:r>
              <w:rPr>
                <w:rFonts w:hint="default" w:ascii="宋体" w:hAnsi="宋体" w:eastAsia="宋体" w:cs="宋体"/>
                <w:color w:val="auto"/>
                <w:sz w:val="21"/>
                <w:szCs w:val="21"/>
                <w:highlight w:val="none"/>
                <w:lang w:eastAsia="zh-CN"/>
              </w:rPr>
              <w:t>24</w:t>
            </w:r>
            <w:r>
              <w:rPr>
                <w:rFonts w:hint="eastAsia" w:ascii="宋体" w:hAnsi="宋体" w:eastAsia="宋体" w:cs="宋体"/>
                <w:color w:val="auto"/>
                <w:sz w:val="21"/>
                <w:szCs w:val="21"/>
                <w:highlight w:val="none"/>
                <w:lang w:eastAsia="zh-CN"/>
              </w:rPr>
              <w:t>小时内到达采购人指定现场。</w:t>
            </w:r>
          </w:p>
          <w:p w14:paraId="2190A9D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符合国家现行的质量标准、技术规范及规程要求，向采购人提供日常有关工程造价方面的咨询服务。</w:t>
            </w:r>
          </w:p>
          <w:p w14:paraId="11A5240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审计机构审计人员承诺在服务过程中接受采购人的工作安排并遵守廉洁从业相关规定，承诺对工作过程中获知的商业秘密进行保密。</w:t>
            </w:r>
          </w:p>
          <w:p w14:paraId="3B49281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cs="宋体"/>
                <w:color w:val="auto"/>
                <w:szCs w:val="21"/>
                <w:highlight w:val="none"/>
                <w:lang w:val="en-US" w:eastAsia="zh-CN"/>
              </w:rPr>
            </w:pPr>
            <w:r>
              <w:rPr>
                <w:rFonts w:hint="default"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eastAsia="zh-CN"/>
              </w:rPr>
              <w:t>审计机构为履行本合同约定而编制的成果文件，其著作权属于采购人。</w:t>
            </w:r>
          </w:p>
        </w:tc>
      </w:tr>
      <w:tr w14:paraId="059D68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1E32F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▲服务时间及地点</w:t>
            </w:r>
          </w:p>
        </w:tc>
        <w:tc>
          <w:tcPr>
            <w:tcW w:w="44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97F57B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1.服务地点：广西制造工程职业技术学院内。</w:t>
            </w:r>
          </w:p>
          <w:p w14:paraId="7BE3177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2.合同签订时间：自成交通知书发出之日起</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个工作日内。</w:t>
            </w:r>
          </w:p>
          <w:p w14:paraId="3BBB223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3.交付时间：</w:t>
            </w:r>
          </w:p>
          <w:p w14:paraId="4E91F2C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（1）过程文件：</w:t>
            </w:r>
          </w:p>
          <w:p w14:paraId="368042F2">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每月</w:t>
            </w:r>
            <w:r>
              <w:rPr>
                <w:rFonts w:hint="default"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lang w:eastAsia="zh-CN"/>
              </w:rPr>
              <w:t>日前提交上月进度款审核报告及造价控制分析表；变更</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签证审核后</w:t>
            </w: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个工作日内提交审核意见书。</w:t>
            </w:r>
          </w:p>
          <w:p w14:paraId="5286EF1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（2）阶段性成果：</w:t>
            </w:r>
          </w:p>
          <w:p w14:paraId="2396782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主体结构封顶后</w:t>
            </w:r>
            <w:r>
              <w:rPr>
                <w:rFonts w:hint="default"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lang w:eastAsia="zh-CN"/>
              </w:rPr>
              <w:t>个工作日内，提交中期造价评估报告（含已完工程结算预估、资金使用偏差分析）。</w:t>
            </w:r>
          </w:p>
          <w:p w14:paraId="378F125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（3）结算报告：</w:t>
            </w:r>
          </w:p>
          <w:p w14:paraId="3558A82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竣工验收后，收到完整的送审结算材料</w:t>
            </w:r>
            <w:r>
              <w:rPr>
                <w:rFonts w:hint="default"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lang w:eastAsia="zh-CN"/>
              </w:rPr>
              <w:t>个工作日内完成结算审核报告。最终审核报告提交时，可先送一份资料，确认后再打印足额份数签认。如采购人提供的资料不齐全，影响审计机构提交服务成果资料的，则时间相应顺延。服务成果须经采购人审核通过后才可提交1式5份加盖公章的纸质材料及电子文档。</w:t>
            </w:r>
          </w:p>
          <w:p w14:paraId="5341952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4.服务期限：自签订合同之日起至项目全部竣工通过验收与财政评审等整个过程的跟踪审计完成并提交最终审核报告等成果文件为止。</w:t>
            </w:r>
          </w:p>
        </w:tc>
      </w:tr>
      <w:tr w14:paraId="66253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13A96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▲报价要求</w:t>
            </w:r>
          </w:p>
        </w:tc>
        <w:tc>
          <w:tcPr>
            <w:tcW w:w="44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52DD81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报价要求：以优惠率进行报价，具体如下：</w:t>
            </w:r>
          </w:p>
          <w:p w14:paraId="1F4C405C">
            <w:pPr>
              <w:keepNext w:val="0"/>
              <w:keepLines w:val="0"/>
              <w:pageBreakBefore w:val="0"/>
              <w:widowControl w:val="0"/>
              <w:shd w:val="clear"/>
              <w:kinsoku/>
              <w:wordWrap/>
              <w:overflowPunct/>
              <w:topLinePunct w:val="0"/>
              <w:autoSpaceDE/>
              <w:autoSpaceDN/>
              <w:bidi w:val="0"/>
              <w:adjustRightInd/>
              <w:snapToGrid/>
              <w:spacing w:line="360" w:lineRule="exact"/>
              <w:ind w:firstLine="0" w:firstLineChars="0"/>
              <w:jc w:val="left"/>
              <w:textAlignment w:val="auto"/>
              <w:rPr>
                <w:rFonts w:hint="default" w:ascii="宋体" w:hAnsi="宋体" w:eastAsia="宋体" w:cs="宋体"/>
                <w:color w:val="auto"/>
                <w:sz w:val="21"/>
                <w:szCs w:val="21"/>
                <w:highlight w:val="none"/>
                <w:lang w:val="en-US" w:eastAsia="zh-CN"/>
              </w:rPr>
            </w:pPr>
            <w:r>
              <w:rPr>
                <w:color w:val="auto"/>
                <w:spacing w:val="2"/>
                <w:highlight w:val="none"/>
              </w:rPr>
              <w:t>施工过程造价咨询</w:t>
            </w:r>
            <w:r>
              <w:rPr>
                <w:rFonts w:hint="eastAsia"/>
                <w:color w:val="auto"/>
                <w:spacing w:val="2"/>
                <w:highlight w:val="none"/>
                <w:lang w:eastAsia="zh-CN"/>
              </w:rPr>
              <w:t>、</w:t>
            </w:r>
            <w:r>
              <w:rPr>
                <w:color w:val="auto"/>
                <w:spacing w:val="4"/>
                <w:highlight w:val="none"/>
              </w:rPr>
              <w:t>工</w:t>
            </w:r>
            <w:r>
              <w:rPr>
                <w:color w:val="auto"/>
                <w:spacing w:val="2"/>
                <w:highlight w:val="none"/>
              </w:rPr>
              <w:t>程竣工结算审核</w:t>
            </w:r>
            <w:r>
              <w:rPr>
                <w:rFonts w:hint="eastAsia" w:ascii="宋体" w:hAnsi="宋体" w:eastAsia="宋体" w:cs="宋体"/>
                <w:color w:val="auto"/>
                <w:sz w:val="21"/>
                <w:szCs w:val="21"/>
                <w:highlight w:val="none"/>
                <w:lang w:eastAsia="zh-CN"/>
              </w:rPr>
              <w:t>：有效报价区间为</w:t>
            </w:r>
            <w:r>
              <w:rPr>
                <w:rFonts w:hint="default" w:ascii="宋体" w:hAnsi="宋体" w:eastAsia="宋体" w:cs="宋体"/>
                <w:color w:val="auto"/>
                <w:sz w:val="21"/>
                <w:szCs w:val="21"/>
                <w:highlight w:val="none"/>
                <w:lang w:eastAsia="zh-CN"/>
              </w:rPr>
              <w:t>0%≤</w:t>
            </w:r>
            <w:r>
              <w:rPr>
                <w:rFonts w:hint="eastAsia" w:ascii="宋体" w:hAnsi="宋体" w:eastAsia="宋体" w:cs="宋体"/>
                <w:color w:val="auto"/>
                <w:sz w:val="21"/>
                <w:szCs w:val="21"/>
                <w:highlight w:val="none"/>
                <w:lang w:eastAsia="zh-CN"/>
              </w:rPr>
              <w:t>价格优惠率≤</w:t>
            </w:r>
            <w:r>
              <w:rPr>
                <w:rFonts w:hint="default"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lang w:eastAsia="zh-CN"/>
              </w:rPr>
              <w:t>。</w:t>
            </w:r>
          </w:p>
          <w:p w14:paraId="0D04429C">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上述报价超出有效区间的，其响应文件作无效竞标处理。</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总额不得超过项目预算金额（53.87万元），超出部分采购人不再支付。</w:t>
            </w:r>
          </w:p>
          <w:p w14:paraId="631437C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竞标报价包括但不限于：完成本项目所需的设备和人力成本、服务费、驻场费用、管理费用、成果文件印制费、专家评审费（如涉及）、通讯费、差旅费、交通费、保险费、税费等以及合同明示所有责任、义务和一般风险，采购人不再支付任何费用。</w:t>
            </w:r>
          </w:p>
        </w:tc>
      </w:tr>
      <w:tr w14:paraId="55DBD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jc w:val="center"/>
        </w:trPr>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3D3F2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▲付款条件</w:t>
            </w:r>
          </w:p>
        </w:tc>
        <w:tc>
          <w:tcPr>
            <w:tcW w:w="44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2BCD7A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1.付款方式及条件</w:t>
            </w:r>
          </w:p>
          <w:tbl>
            <w:tblPr>
              <w:tblStyle w:val="17"/>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2916"/>
              <w:gridCol w:w="1809"/>
              <w:gridCol w:w="2448"/>
            </w:tblGrid>
            <w:tr w14:paraId="3C5E4591">
              <w:trPr>
                <w:jc w:val="center"/>
              </w:trPr>
              <w:tc>
                <w:tcPr>
                  <w:tcW w:w="8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2E247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付款期次</w:t>
                  </w:r>
                </w:p>
              </w:tc>
              <w:tc>
                <w:tcPr>
                  <w:tcW w:w="16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20C52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付款条件</w:t>
                  </w:r>
                </w:p>
              </w:tc>
              <w:tc>
                <w:tcPr>
                  <w:tcW w:w="10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350CA3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lang w:eastAsia="zh-CN"/>
                    </w:rPr>
                    <w:t>进度</w:t>
                  </w:r>
                </w:p>
              </w:tc>
              <w:tc>
                <w:tcPr>
                  <w:tcW w:w="14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0E27E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备注</w:t>
                  </w:r>
                </w:p>
              </w:tc>
            </w:tr>
            <w:tr w14:paraId="5BDDC14B">
              <w:trPr>
                <w:trHeight w:val="652" w:hRule="atLeast"/>
                <w:jc w:val="center"/>
              </w:trPr>
              <w:tc>
                <w:tcPr>
                  <w:tcW w:w="8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24666C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预付款</w:t>
                  </w:r>
                </w:p>
              </w:tc>
              <w:tc>
                <w:tcPr>
                  <w:tcW w:w="16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07C4B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合同签订后10个工作日内</w:t>
                  </w:r>
                </w:p>
              </w:tc>
              <w:tc>
                <w:tcPr>
                  <w:tcW w:w="10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3DE35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40000.00元</w:t>
                  </w:r>
                </w:p>
              </w:tc>
              <w:tc>
                <w:tcPr>
                  <w:tcW w:w="14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D7A5A5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p>
              </w:tc>
            </w:tr>
            <w:tr w14:paraId="442578A6">
              <w:trPr>
                <w:jc w:val="center"/>
              </w:trPr>
              <w:tc>
                <w:tcPr>
                  <w:tcW w:w="8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825CD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结算审计</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eastAsia="zh-CN"/>
                    </w:rPr>
                    <w:t>前（不限支付次数）</w:t>
                  </w:r>
                </w:p>
              </w:tc>
              <w:tc>
                <w:tcPr>
                  <w:tcW w:w="16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9DA7B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参考施工进度支付（以审核工程款支付进度为参考，最终以采购人确认为准）</w:t>
                  </w:r>
                </w:p>
              </w:tc>
              <w:tc>
                <w:tcPr>
                  <w:tcW w:w="10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FE61C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最高不超过</w:t>
                  </w:r>
                  <w:r>
                    <w:rPr>
                      <w:rFonts w:hint="eastAsia" w:ascii="宋体" w:hAnsi="宋体" w:cs="宋体"/>
                      <w:color w:val="auto"/>
                      <w:sz w:val="21"/>
                      <w:szCs w:val="21"/>
                      <w:highlight w:val="none"/>
                      <w:lang w:val="en-US" w:eastAsia="zh-CN"/>
                    </w:rPr>
                    <w:t>项目总计费额的</w:t>
                  </w:r>
                  <w:r>
                    <w:rPr>
                      <w:rFonts w:hint="default" w:ascii="宋体" w:hAnsi="宋体" w:eastAsia="宋体" w:cs="宋体"/>
                      <w:color w:val="auto"/>
                      <w:sz w:val="21"/>
                      <w:szCs w:val="21"/>
                      <w:highlight w:val="none"/>
                      <w:lang w:eastAsia="zh-CN"/>
                    </w:rPr>
                    <w:t>70%</w:t>
                  </w:r>
                </w:p>
                <w:p w14:paraId="134E97B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（含已支付的）</w:t>
                  </w:r>
                </w:p>
              </w:tc>
              <w:tc>
                <w:tcPr>
                  <w:tcW w:w="14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A1076A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p>
              </w:tc>
            </w:tr>
            <w:tr w14:paraId="28A77D16">
              <w:trPr>
                <w:jc w:val="center"/>
              </w:trPr>
              <w:tc>
                <w:tcPr>
                  <w:tcW w:w="84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A89C0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尾款</w:t>
                  </w:r>
                </w:p>
              </w:tc>
              <w:tc>
                <w:tcPr>
                  <w:tcW w:w="168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90A03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审计机构出具正式咨询成果并提供正式版结算审计报告后，且经采购人认定后</w:t>
                  </w:r>
                  <w:r>
                    <w:rPr>
                      <w:rFonts w:hint="default"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eastAsia="zh-CN"/>
                    </w:rPr>
                    <w:t>个工作日内</w:t>
                  </w:r>
                </w:p>
              </w:tc>
              <w:tc>
                <w:tcPr>
                  <w:tcW w:w="10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77B93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100%</w:t>
                  </w:r>
                </w:p>
                <w:p w14:paraId="09DA7EC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（含已支付的）</w:t>
                  </w:r>
                </w:p>
              </w:tc>
              <w:tc>
                <w:tcPr>
                  <w:tcW w:w="141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7861E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项目总计费额</w:t>
                  </w:r>
                </w:p>
              </w:tc>
            </w:tr>
          </w:tbl>
          <w:p w14:paraId="73AA739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购人付款前，成交供应商应向采购人开具等额有效的增值税普通发票，采购人未收到发票的，有权不予支付相应款项直至成交供应商提供合格发票，并不承担延迟付款责任。发票认证通过是付款的必要前提之一。</w:t>
            </w:r>
          </w:p>
          <w:p w14:paraId="453CE90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3.酬金计算方式：</w:t>
            </w:r>
          </w:p>
          <w:p w14:paraId="2F497A7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项目总计费额 = 施工造价过程咨询费+工程竣工结算审核费</w:t>
            </w:r>
          </w:p>
          <w:p w14:paraId="4266657E">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施工造价过程咨询费 </w:t>
            </w:r>
            <w:r>
              <w:rPr>
                <w:rFonts w:hint="default"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eastAsia="zh-CN"/>
              </w:rPr>
              <w:t>工程施工合同价</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相应费率</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（1-价格优惠率）</w:t>
            </w:r>
          </w:p>
          <w:p w14:paraId="0D417DD2">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工程竣工结算审核费 </w:t>
            </w:r>
            <w:r>
              <w:rPr>
                <w:rFonts w:hint="default"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eastAsia="zh-CN"/>
              </w:rPr>
              <w:t>送审</w:t>
            </w:r>
            <w:r>
              <w:rPr>
                <w:rFonts w:hint="eastAsia" w:ascii="宋体" w:hAnsi="宋体" w:cs="宋体"/>
                <w:color w:val="auto"/>
                <w:sz w:val="21"/>
                <w:szCs w:val="21"/>
                <w:highlight w:val="none"/>
                <w:lang w:val="en-US" w:eastAsia="zh-CN"/>
              </w:rPr>
              <w:t>工程</w:t>
            </w:r>
            <w:r>
              <w:rPr>
                <w:rFonts w:hint="default" w:ascii="宋体" w:hAnsi="宋体" w:eastAsia="宋体" w:cs="宋体"/>
                <w:color w:val="auto"/>
                <w:sz w:val="21"/>
                <w:szCs w:val="21"/>
                <w:highlight w:val="none"/>
                <w:lang w:eastAsia="zh-CN"/>
              </w:rPr>
              <w:t>造价</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相应费率</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（1-价格优惠率）</w:t>
            </w:r>
          </w:p>
          <w:p w14:paraId="3A4CC6F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注：工程造价咨询服务收费根据不同咨询项目的性质、内容采取差额定率分档累进方法计算，详见下表：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90"/>
              <w:gridCol w:w="1751"/>
              <w:gridCol w:w="1451"/>
              <w:gridCol w:w="2069"/>
              <w:gridCol w:w="1764"/>
            </w:tblGrid>
            <w:tr w14:paraId="277AFBAF">
              <w:trPr>
                <w:trHeight w:val="454" w:hRule="atLeast"/>
                <w:jc w:val="center"/>
              </w:trPr>
              <w:tc>
                <w:tcPr>
                  <w:tcW w:w="1014" w:type="pct"/>
                  <w:vMerge w:val="restart"/>
                  <w:tcBorders>
                    <w:bottom w:val="nil"/>
                  </w:tcBorders>
                  <w:vAlign w:val="center"/>
                </w:tcPr>
                <w:p w14:paraId="1C16B215">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咨询项目名称</w:t>
                  </w:r>
                </w:p>
              </w:tc>
              <w:tc>
                <w:tcPr>
                  <w:tcW w:w="992" w:type="pct"/>
                  <w:vMerge w:val="restart"/>
                  <w:tcBorders>
                    <w:bottom w:val="nil"/>
                  </w:tcBorders>
                  <w:vAlign w:val="center"/>
                </w:tcPr>
                <w:p w14:paraId="495CB700">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计费基数</w:t>
                  </w:r>
                </w:p>
              </w:tc>
              <w:tc>
                <w:tcPr>
                  <w:tcW w:w="2993" w:type="pct"/>
                  <w:gridSpan w:val="3"/>
                  <w:vAlign w:val="center"/>
                </w:tcPr>
                <w:p w14:paraId="23D90DCD">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按差额定率分档累进方法计算</w:t>
                  </w: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rPr>
                    <w:t>费率</w:t>
                  </w:r>
                  <w:r>
                    <w:rPr>
                      <w:rFonts w:hint="eastAsia" w:ascii="宋体" w:hAnsi="宋体" w:eastAsia="宋体" w:cs="宋体"/>
                      <w:color w:val="auto"/>
                      <w:spacing w:val="4"/>
                      <w:sz w:val="21"/>
                      <w:szCs w:val="21"/>
                      <w:highlight w:val="none"/>
                      <w:lang w:val="en-US" w:eastAsia="zh-CN"/>
                    </w:rPr>
                    <w:t>单位：</w:t>
                  </w:r>
                  <w:r>
                    <w:rPr>
                      <w:rFonts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eastAsia="zh-CN"/>
                    </w:rPr>
                    <w:t>）</w:t>
                  </w:r>
                </w:p>
              </w:tc>
            </w:tr>
            <w:tr w14:paraId="15ABB2CC">
              <w:trPr>
                <w:trHeight w:val="454" w:hRule="atLeast"/>
                <w:jc w:val="center"/>
              </w:trPr>
              <w:tc>
                <w:tcPr>
                  <w:tcW w:w="1014" w:type="pct"/>
                  <w:vMerge w:val="continue"/>
                  <w:tcBorders>
                    <w:top w:val="nil"/>
                  </w:tcBorders>
                  <w:vAlign w:val="center"/>
                </w:tcPr>
                <w:p w14:paraId="6D5A946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cs="宋体"/>
                      <w:color w:val="auto"/>
                      <w:sz w:val="21"/>
                      <w:szCs w:val="21"/>
                      <w:highlight w:val="none"/>
                    </w:rPr>
                  </w:pPr>
                </w:p>
              </w:tc>
              <w:tc>
                <w:tcPr>
                  <w:tcW w:w="992" w:type="pct"/>
                  <w:vMerge w:val="continue"/>
                  <w:tcBorders>
                    <w:top w:val="nil"/>
                  </w:tcBorders>
                  <w:vAlign w:val="center"/>
                </w:tcPr>
                <w:p w14:paraId="4485BD19">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cs="宋体"/>
                      <w:color w:val="auto"/>
                      <w:sz w:val="21"/>
                      <w:szCs w:val="21"/>
                      <w:highlight w:val="none"/>
                    </w:rPr>
                  </w:pPr>
                </w:p>
              </w:tc>
              <w:tc>
                <w:tcPr>
                  <w:tcW w:w="822" w:type="pct"/>
                  <w:vAlign w:val="center"/>
                </w:tcPr>
                <w:p w14:paraId="4978C536">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1000万元以下</w:t>
                  </w:r>
                </w:p>
              </w:tc>
              <w:tc>
                <w:tcPr>
                  <w:tcW w:w="1172" w:type="pct"/>
                  <w:vAlign w:val="center"/>
                </w:tcPr>
                <w:p w14:paraId="6F3AC327">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1000-5000万元(含)</w:t>
                  </w:r>
                </w:p>
              </w:tc>
              <w:tc>
                <w:tcPr>
                  <w:tcW w:w="997" w:type="pct"/>
                  <w:vAlign w:val="center"/>
                </w:tcPr>
                <w:p w14:paraId="52EF93C9">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5000万元-2亿</w:t>
                  </w:r>
                </w:p>
                <w:p w14:paraId="70B75C24">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元</w:t>
                  </w:r>
                  <w:r>
                    <w:rPr>
                      <w:rFonts w:ascii="宋体" w:hAnsi="宋体" w:eastAsia="宋体" w:cs="宋体"/>
                      <w:color w:val="auto"/>
                      <w:spacing w:val="8"/>
                      <w:sz w:val="21"/>
                      <w:szCs w:val="21"/>
                      <w:highlight w:val="none"/>
                    </w:rPr>
                    <w:t xml:space="preserve"> </w:t>
                  </w:r>
                  <w:r>
                    <w:rPr>
                      <w:rFonts w:ascii="宋体" w:hAnsi="宋体" w:eastAsia="宋体" w:cs="宋体"/>
                      <w:color w:val="auto"/>
                      <w:spacing w:val="-19"/>
                      <w:sz w:val="21"/>
                      <w:szCs w:val="21"/>
                      <w:highlight w:val="none"/>
                    </w:rPr>
                    <w:t>(</w:t>
                  </w:r>
                  <w:r>
                    <w:rPr>
                      <w:rFonts w:ascii="宋体" w:hAnsi="宋体" w:eastAsia="宋体" w:cs="宋体"/>
                      <w:color w:val="auto"/>
                      <w:spacing w:val="-36"/>
                      <w:sz w:val="21"/>
                      <w:szCs w:val="21"/>
                      <w:highlight w:val="none"/>
                    </w:rPr>
                    <w:t xml:space="preserve"> </w:t>
                  </w:r>
                  <w:r>
                    <w:rPr>
                      <w:rFonts w:ascii="宋体" w:hAnsi="宋体" w:eastAsia="宋体" w:cs="宋体"/>
                      <w:color w:val="auto"/>
                      <w:spacing w:val="-19"/>
                      <w:sz w:val="21"/>
                      <w:szCs w:val="21"/>
                      <w:highlight w:val="none"/>
                    </w:rPr>
                    <w:t>含</w:t>
                  </w:r>
                  <w:r>
                    <w:rPr>
                      <w:rFonts w:ascii="宋体" w:hAnsi="宋体" w:eastAsia="宋体" w:cs="宋体"/>
                      <w:color w:val="auto"/>
                      <w:spacing w:val="-35"/>
                      <w:sz w:val="21"/>
                      <w:szCs w:val="21"/>
                      <w:highlight w:val="none"/>
                    </w:rPr>
                    <w:t xml:space="preserve"> </w:t>
                  </w:r>
                  <w:r>
                    <w:rPr>
                      <w:rFonts w:ascii="宋体" w:hAnsi="宋体" w:eastAsia="宋体" w:cs="宋体"/>
                      <w:color w:val="auto"/>
                      <w:spacing w:val="-19"/>
                      <w:sz w:val="21"/>
                      <w:szCs w:val="21"/>
                      <w:highlight w:val="none"/>
                    </w:rPr>
                    <w:t>)</w:t>
                  </w:r>
                </w:p>
              </w:tc>
            </w:tr>
            <w:tr w14:paraId="02BA063E">
              <w:trPr>
                <w:trHeight w:val="454" w:hRule="atLeast"/>
                <w:jc w:val="center"/>
              </w:trPr>
              <w:tc>
                <w:tcPr>
                  <w:tcW w:w="1014" w:type="pct"/>
                  <w:tcBorders>
                    <w:bottom w:val="single" w:color="auto" w:sz="4" w:space="0"/>
                  </w:tcBorders>
                  <w:vAlign w:val="center"/>
                </w:tcPr>
                <w:p w14:paraId="648DE3D3">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施工过程造价咨询</w:t>
                  </w:r>
                </w:p>
              </w:tc>
              <w:tc>
                <w:tcPr>
                  <w:tcW w:w="992" w:type="pct"/>
                  <w:tcBorders>
                    <w:bottom w:val="single" w:color="auto" w:sz="4" w:space="0"/>
                  </w:tcBorders>
                  <w:vAlign w:val="center"/>
                </w:tcPr>
                <w:p w14:paraId="4F5818D8">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right="145"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工程施工合</w:t>
                  </w:r>
                  <w:r>
                    <w:rPr>
                      <w:rFonts w:ascii="宋体" w:hAnsi="宋体" w:eastAsia="宋体" w:cs="宋体"/>
                      <w:color w:val="auto"/>
                      <w:spacing w:val="5"/>
                      <w:sz w:val="21"/>
                      <w:szCs w:val="21"/>
                      <w:highlight w:val="none"/>
                    </w:rPr>
                    <w:t>同价</w:t>
                  </w:r>
                </w:p>
              </w:tc>
              <w:tc>
                <w:tcPr>
                  <w:tcW w:w="822" w:type="pct"/>
                  <w:tcBorders>
                    <w:bottom w:val="single" w:color="auto" w:sz="4" w:space="0"/>
                  </w:tcBorders>
                  <w:vAlign w:val="center"/>
                </w:tcPr>
                <w:p w14:paraId="3CE27417">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5.2</w:t>
                  </w:r>
                </w:p>
              </w:tc>
              <w:tc>
                <w:tcPr>
                  <w:tcW w:w="1172" w:type="pct"/>
                  <w:tcBorders>
                    <w:bottom w:val="single" w:color="auto" w:sz="4" w:space="0"/>
                  </w:tcBorders>
                  <w:vAlign w:val="center"/>
                </w:tcPr>
                <w:p w14:paraId="32D0F714">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997" w:type="pct"/>
                  <w:tcBorders>
                    <w:bottom w:val="single" w:color="auto" w:sz="4" w:space="0"/>
                  </w:tcBorders>
                  <w:vAlign w:val="center"/>
                </w:tcPr>
                <w:p w14:paraId="4A6DDF15">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3.4</w:t>
                  </w:r>
                </w:p>
              </w:tc>
            </w:tr>
            <w:tr w14:paraId="23BCCD7C">
              <w:trPr>
                <w:trHeight w:val="454" w:hRule="atLeast"/>
                <w:jc w:val="center"/>
              </w:trPr>
              <w:tc>
                <w:tcPr>
                  <w:tcW w:w="1014" w:type="pct"/>
                  <w:tcBorders>
                    <w:top w:val="single" w:color="auto" w:sz="4" w:space="0"/>
                    <w:left w:val="single" w:color="auto" w:sz="4" w:space="0"/>
                    <w:bottom w:val="single" w:color="auto" w:sz="4" w:space="0"/>
                  </w:tcBorders>
                  <w:vAlign w:val="center"/>
                </w:tcPr>
                <w:p w14:paraId="39EA4D50">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工</w:t>
                  </w:r>
                  <w:r>
                    <w:rPr>
                      <w:rFonts w:ascii="宋体" w:hAnsi="宋体" w:eastAsia="宋体" w:cs="宋体"/>
                      <w:color w:val="auto"/>
                      <w:spacing w:val="2"/>
                      <w:sz w:val="21"/>
                      <w:szCs w:val="21"/>
                      <w:highlight w:val="none"/>
                    </w:rPr>
                    <w:t>程竣工结算审核</w:t>
                  </w:r>
                </w:p>
              </w:tc>
              <w:tc>
                <w:tcPr>
                  <w:tcW w:w="992" w:type="pct"/>
                  <w:tcBorders>
                    <w:top w:val="single" w:color="auto" w:sz="4" w:space="0"/>
                    <w:bottom w:val="single" w:color="auto" w:sz="4" w:space="0"/>
                  </w:tcBorders>
                  <w:vAlign w:val="center"/>
                </w:tcPr>
                <w:p w14:paraId="2A9A6149">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送审结算造</w:t>
                  </w:r>
                  <w:r>
                    <w:rPr>
                      <w:rFonts w:ascii="宋体" w:hAnsi="宋体" w:eastAsia="宋体" w:cs="宋体"/>
                      <w:color w:val="auto"/>
                      <w:sz w:val="21"/>
                      <w:szCs w:val="21"/>
                      <w:highlight w:val="none"/>
                    </w:rPr>
                    <w:t>价</w:t>
                  </w:r>
                </w:p>
              </w:tc>
              <w:tc>
                <w:tcPr>
                  <w:tcW w:w="822" w:type="pct"/>
                  <w:tcBorders>
                    <w:top w:val="single" w:color="auto" w:sz="4" w:space="0"/>
                    <w:bottom w:val="single" w:color="auto" w:sz="4" w:space="0"/>
                  </w:tcBorders>
                  <w:vAlign w:val="center"/>
                </w:tcPr>
                <w:p w14:paraId="7857FC50">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p>
              </w:tc>
              <w:tc>
                <w:tcPr>
                  <w:tcW w:w="1172" w:type="pct"/>
                  <w:tcBorders>
                    <w:top w:val="single" w:color="auto" w:sz="4" w:space="0"/>
                    <w:bottom w:val="single" w:color="auto" w:sz="4" w:space="0"/>
                  </w:tcBorders>
                  <w:vAlign w:val="center"/>
                </w:tcPr>
                <w:p w14:paraId="34751ECB">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c>
                <w:tcPr>
                  <w:tcW w:w="997" w:type="pct"/>
                  <w:tcBorders>
                    <w:top w:val="single" w:color="auto" w:sz="4" w:space="0"/>
                    <w:bottom w:val="single" w:color="auto" w:sz="4" w:space="0"/>
                    <w:right w:val="single" w:color="auto" w:sz="4" w:space="0"/>
                  </w:tcBorders>
                  <w:vAlign w:val="center"/>
                </w:tcPr>
                <w:p w14:paraId="79E76612">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r>
          </w:tbl>
          <w:p w14:paraId="438EA841">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）收费按收费标准计费不足</w:t>
            </w:r>
            <w:r>
              <w:rPr>
                <w:rFonts w:hint="default" w:ascii="宋体" w:hAnsi="宋体" w:eastAsia="宋体" w:cs="宋体"/>
                <w:color w:val="auto"/>
                <w:sz w:val="21"/>
                <w:szCs w:val="21"/>
                <w:highlight w:val="none"/>
                <w:lang w:eastAsia="zh-CN"/>
              </w:rPr>
              <w:t>3000</w:t>
            </w:r>
            <w:r>
              <w:rPr>
                <w:rFonts w:hint="eastAsia" w:ascii="宋体" w:hAnsi="宋体" w:eastAsia="宋体" w:cs="宋体"/>
                <w:color w:val="auto"/>
                <w:sz w:val="21"/>
                <w:szCs w:val="21"/>
                <w:highlight w:val="none"/>
                <w:lang w:eastAsia="zh-CN"/>
              </w:rPr>
              <w:t>元的按</w:t>
            </w:r>
            <w:r>
              <w:rPr>
                <w:rFonts w:hint="default" w:ascii="宋体" w:hAnsi="宋体" w:eastAsia="宋体" w:cs="宋体"/>
                <w:color w:val="auto"/>
                <w:sz w:val="21"/>
                <w:szCs w:val="21"/>
                <w:highlight w:val="none"/>
                <w:lang w:eastAsia="zh-CN"/>
              </w:rPr>
              <w:t>3000</w:t>
            </w:r>
            <w:r>
              <w:rPr>
                <w:rFonts w:hint="eastAsia" w:ascii="宋体" w:hAnsi="宋体" w:eastAsia="宋体" w:cs="宋体"/>
                <w:color w:val="auto"/>
                <w:sz w:val="21"/>
                <w:szCs w:val="21"/>
                <w:highlight w:val="none"/>
                <w:lang w:eastAsia="zh-CN"/>
              </w:rPr>
              <w:t>元计费，其余（除驻场服务费外）按桂价协字〔2019〕</w:t>
            </w:r>
            <w:r>
              <w:rPr>
                <w:rFonts w:hint="default"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t>号文规定执行，合同履行中委托的审计事项不适用于桂价协字〔2019〕</w:t>
            </w:r>
            <w:r>
              <w:rPr>
                <w:rFonts w:hint="default"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t>号文的，由采购人与审计机构谈判确定。</w:t>
            </w:r>
          </w:p>
          <w:p w14:paraId="12F0E19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4.本项目使用币制为人民币。</w:t>
            </w:r>
          </w:p>
          <w:p w14:paraId="34BE810E">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5.驻场服务费用已包含在总报价中，采购人不再另行支付。</w:t>
            </w:r>
          </w:p>
        </w:tc>
      </w:tr>
      <w:tr w14:paraId="05184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53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551CC4">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其他要求</w:t>
            </w:r>
          </w:p>
        </w:tc>
        <w:tc>
          <w:tcPr>
            <w:tcW w:w="4461"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E09F96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本项目采购需求中带</w:t>
            </w:r>
            <w:r>
              <w:rPr>
                <w:rFonts w:hint="default"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号的内容及表述为“须”或“必须”的条款均为实质性要求或条件，供应商必须全部满足。</w:t>
            </w:r>
          </w:p>
          <w:p w14:paraId="6A36F7F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审计机构不得以任何形式向与本项目无关的其他单位或人员提供询价文件及所附的有关资料，如违反，必须赔偿采购人的所有损失，且采购人保留追究法律责任的权力。</w:t>
            </w:r>
          </w:p>
          <w:p w14:paraId="45D16DF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eastAsia="zh-CN"/>
              </w:rPr>
              <w:t>审计机构不得接受在本校有施工任务的施工单位委托的咨询服务工作。</w:t>
            </w:r>
          </w:p>
          <w:p w14:paraId="369BE0D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lang w:eastAsia="zh-CN"/>
              </w:rPr>
              <w:t>审计机构必须保守采购人的商业秘密，签订合同时须签订保密协议，未经采购方许可，不得将采购人的相关信息对外公布或移交第三方。</w:t>
            </w:r>
          </w:p>
        </w:tc>
      </w:tr>
      <w:tr w14:paraId="2EBED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0"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7D703FF9">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磋商小组根据与供应商磋商情况可能实质性变动的内容：</w:t>
            </w:r>
          </w:p>
          <w:p w14:paraId="125EEFE6">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left="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未标识‘▲’及未表述为“须”或“必须”的采购项目技术规格、参数及要求。</w:t>
            </w:r>
          </w:p>
        </w:tc>
      </w:tr>
    </w:tbl>
    <w:p w14:paraId="1C4E80DA">
      <w:pPr>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ascii="宋体" w:hAnsi="宋体"/>
          <w:b/>
          <w:color w:val="auto"/>
          <w:sz w:val="21"/>
          <w:szCs w:val="21"/>
          <w:highlight w:val="none"/>
        </w:rPr>
      </w:pPr>
      <w:r>
        <w:rPr>
          <w:rFonts w:ascii="宋体" w:hAnsi="宋体"/>
          <w:b/>
          <w:color w:val="auto"/>
          <w:sz w:val="21"/>
          <w:szCs w:val="21"/>
          <w:highlight w:val="none"/>
        </w:rPr>
        <w:br w:type="page"/>
      </w:r>
    </w:p>
    <w:p w14:paraId="52853A9A">
      <w:pPr>
        <w:shd w:val="clear"/>
        <w:spacing w:line="400" w:lineRule="exact"/>
        <w:jc w:val="center"/>
        <w:rPr>
          <w:rFonts w:hint="eastAsia" w:ascii="宋体" w:hAnsi="宋体"/>
          <w:b/>
          <w:color w:val="auto"/>
          <w:sz w:val="32"/>
          <w:szCs w:val="32"/>
          <w:highlight w:val="none"/>
        </w:rPr>
      </w:pPr>
    </w:p>
    <w:p w14:paraId="5556B8C0">
      <w:pPr>
        <w:shd w:val="clear"/>
        <w:spacing w:line="400" w:lineRule="exact"/>
        <w:jc w:val="center"/>
        <w:rPr>
          <w:rFonts w:hint="eastAsia" w:ascii="宋体" w:hAnsi="宋体"/>
          <w:b/>
          <w:color w:val="auto"/>
          <w:sz w:val="32"/>
          <w:szCs w:val="32"/>
          <w:highlight w:val="none"/>
        </w:rPr>
      </w:pPr>
    </w:p>
    <w:p w14:paraId="320598F0">
      <w:pPr>
        <w:shd w:val="clear"/>
        <w:spacing w:line="400" w:lineRule="exact"/>
        <w:jc w:val="center"/>
        <w:rPr>
          <w:rFonts w:hint="eastAsia" w:ascii="宋体" w:hAnsi="宋体"/>
          <w:b/>
          <w:color w:val="auto"/>
          <w:sz w:val="32"/>
          <w:szCs w:val="32"/>
          <w:highlight w:val="none"/>
        </w:rPr>
      </w:pPr>
    </w:p>
    <w:p w14:paraId="286FF393">
      <w:pPr>
        <w:shd w:val="clear"/>
        <w:spacing w:line="400" w:lineRule="exact"/>
        <w:jc w:val="center"/>
        <w:rPr>
          <w:rFonts w:hint="eastAsia" w:ascii="宋体" w:hAnsi="宋体"/>
          <w:b/>
          <w:color w:val="auto"/>
          <w:sz w:val="32"/>
          <w:szCs w:val="32"/>
          <w:highlight w:val="none"/>
        </w:rPr>
      </w:pPr>
    </w:p>
    <w:p w14:paraId="5FFB1775">
      <w:pPr>
        <w:shd w:val="clear"/>
        <w:spacing w:line="400" w:lineRule="exact"/>
        <w:jc w:val="center"/>
        <w:rPr>
          <w:rFonts w:hint="eastAsia" w:ascii="宋体" w:hAnsi="宋体"/>
          <w:b/>
          <w:color w:val="auto"/>
          <w:sz w:val="32"/>
          <w:szCs w:val="32"/>
          <w:highlight w:val="none"/>
        </w:rPr>
      </w:pPr>
    </w:p>
    <w:p w14:paraId="00285FA6">
      <w:pPr>
        <w:shd w:val="clear"/>
        <w:spacing w:line="400" w:lineRule="exact"/>
        <w:jc w:val="center"/>
        <w:rPr>
          <w:rFonts w:hint="eastAsia" w:ascii="宋体" w:hAnsi="宋体"/>
          <w:b/>
          <w:color w:val="auto"/>
          <w:sz w:val="32"/>
          <w:szCs w:val="32"/>
          <w:highlight w:val="none"/>
        </w:rPr>
      </w:pPr>
    </w:p>
    <w:p w14:paraId="144FEFBA">
      <w:pPr>
        <w:shd w:val="clear"/>
        <w:spacing w:line="400" w:lineRule="exact"/>
        <w:jc w:val="center"/>
        <w:rPr>
          <w:rFonts w:hint="eastAsia" w:ascii="宋体" w:hAnsi="宋体"/>
          <w:b/>
          <w:color w:val="auto"/>
          <w:sz w:val="32"/>
          <w:szCs w:val="32"/>
          <w:highlight w:val="none"/>
        </w:rPr>
      </w:pPr>
    </w:p>
    <w:p w14:paraId="7A705A54">
      <w:pPr>
        <w:shd w:val="clear"/>
        <w:spacing w:line="400" w:lineRule="exact"/>
        <w:jc w:val="center"/>
        <w:rPr>
          <w:rFonts w:hint="eastAsia" w:ascii="宋体" w:hAnsi="宋体"/>
          <w:b/>
          <w:color w:val="auto"/>
          <w:sz w:val="32"/>
          <w:szCs w:val="32"/>
          <w:highlight w:val="none"/>
        </w:rPr>
      </w:pPr>
    </w:p>
    <w:p w14:paraId="518FBFC9">
      <w:pPr>
        <w:shd w:val="clear"/>
        <w:spacing w:line="400" w:lineRule="exact"/>
        <w:jc w:val="center"/>
        <w:rPr>
          <w:rFonts w:hint="eastAsia" w:ascii="宋体" w:hAnsi="宋体"/>
          <w:b/>
          <w:color w:val="auto"/>
          <w:sz w:val="32"/>
          <w:szCs w:val="32"/>
          <w:highlight w:val="none"/>
        </w:rPr>
      </w:pPr>
    </w:p>
    <w:p w14:paraId="3A09CC8A">
      <w:pPr>
        <w:shd w:val="clear"/>
        <w:spacing w:line="400" w:lineRule="exact"/>
        <w:jc w:val="center"/>
        <w:rPr>
          <w:rFonts w:hint="eastAsia" w:ascii="宋体" w:hAnsi="宋体"/>
          <w:b/>
          <w:color w:val="auto"/>
          <w:sz w:val="32"/>
          <w:szCs w:val="32"/>
          <w:highlight w:val="none"/>
        </w:rPr>
      </w:pPr>
    </w:p>
    <w:p w14:paraId="2318F5ED">
      <w:pPr>
        <w:shd w:val="clear"/>
        <w:spacing w:line="400" w:lineRule="exact"/>
        <w:jc w:val="center"/>
        <w:rPr>
          <w:rFonts w:hint="eastAsia" w:ascii="宋体" w:hAnsi="宋体"/>
          <w:b/>
          <w:color w:val="auto"/>
          <w:sz w:val="32"/>
          <w:szCs w:val="32"/>
          <w:highlight w:val="none"/>
        </w:rPr>
      </w:pPr>
    </w:p>
    <w:p w14:paraId="0F11759E">
      <w:pPr>
        <w:shd w:val="clear"/>
        <w:spacing w:line="400" w:lineRule="exact"/>
        <w:jc w:val="center"/>
        <w:rPr>
          <w:rFonts w:hint="eastAsia" w:ascii="宋体" w:hAnsi="宋体"/>
          <w:b/>
          <w:color w:val="auto"/>
          <w:sz w:val="32"/>
          <w:szCs w:val="32"/>
          <w:highlight w:val="none"/>
        </w:rPr>
      </w:pPr>
    </w:p>
    <w:p w14:paraId="527529F0">
      <w:pPr>
        <w:shd w:val="clear"/>
        <w:spacing w:line="400" w:lineRule="exact"/>
        <w:jc w:val="center"/>
        <w:rPr>
          <w:rFonts w:hint="eastAsia" w:ascii="宋体" w:hAnsi="宋体"/>
          <w:b/>
          <w:color w:val="auto"/>
          <w:sz w:val="32"/>
          <w:szCs w:val="32"/>
          <w:highlight w:val="none"/>
        </w:rPr>
      </w:pPr>
    </w:p>
    <w:p w14:paraId="7BB1B939">
      <w:pPr>
        <w:pStyle w:val="15"/>
        <w:shd w:val="clear"/>
        <w:rPr>
          <w:rFonts w:hint="eastAsia"/>
          <w:color w:val="auto"/>
          <w:sz w:val="44"/>
          <w:szCs w:val="44"/>
          <w:highlight w:val="none"/>
        </w:rPr>
      </w:pPr>
      <w:bookmarkStart w:id="51" w:name="_Toc476258759"/>
      <w:bookmarkStart w:id="52" w:name="_Toc476258665"/>
      <w:r>
        <w:rPr>
          <w:rFonts w:hint="eastAsia"/>
          <w:color w:val="auto"/>
          <w:sz w:val="44"/>
          <w:szCs w:val="44"/>
          <w:highlight w:val="none"/>
        </w:rPr>
        <w:t>第四章  竞争性磋商响应文件格式</w:t>
      </w:r>
      <w:bookmarkEnd w:id="51"/>
      <w:bookmarkEnd w:id="52"/>
    </w:p>
    <w:p w14:paraId="4BE36736">
      <w:pPr>
        <w:shd w:val="clear"/>
        <w:spacing w:line="500" w:lineRule="exact"/>
        <w:jc w:val="center"/>
        <w:rPr>
          <w:rFonts w:hint="eastAsia" w:ascii="仿宋_GB2312" w:hAnsi="宋体" w:eastAsia="仿宋_GB2312"/>
          <w:b/>
          <w:color w:val="auto"/>
          <w:sz w:val="32"/>
          <w:szCs w:val="32"/>
          <w:highlight w:val="none"/>
        </w:rPr>
      </w:pPr>
    </w:p>
    <w:p w14:paraId="032A6615">
      <w:pPr>
        <w:shd w:val="clea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竞争性磋商响应文件</w:t>
      </w:r>
      <w:r>
        <w:rPr>
          <w:rFonts w:hint="eastAsia" w:ascii="宋体" w:hAnsi="宋体"/>
          <w:b/>
          <w:color w:val="auto"/>
          <w:sz w:val="30"/>
          <w:szCs w:val="30"/>
          <w:highlight w:val="none"/>
        </w:rPr>
        <w:t>封面</w:t>
      </w:r>
      <w:r>
        <w:rPr>
          <w:rFonts w:hint="eastAsia" w:ascii="宋体" w:hAnsi="宋体"/>
          <w:b/>
          <w:bCs/>
          <w:color w:val="auto"/>
          <w:sz w:val="30"/>
          <w:szCs w:val="30"/>
          <w:highlight w:val="none"/>
        </w:rPr>
        <w:t>格式</w:t>
      </w:r>
    </w:p>
    <w:p w14:paraId="2E2E834E">
      <w:pPr>
        <w:shd w:val="clear"/>
        <w:spacing w:line="240" w:lineRule="atLeast"/>
        <w:rPr>
          <w:rFonts w:hint="eastAsia" w:ascii="仿宋_GB2312" w:hAnsi="宋体" w:eastAsia="仿宋_GB2312"/>
          <w:b/>
          <w:color w:val="auto"/>
          <w:sz w:val="32"/>
          <w:szCs w:val="32"/>
          <w:highlight w:val="none"/>
          <w:u w:val="single"/>
        </w:rPr>
      </w:pPr>
    </w:p>
    <w:p w14:paraId="2476D7A4">
      <w:pPr>
        <w:shd w:val="clear"/>
        <w:spacing w:line="240" w:lineRule="atLeast"/>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u w:val="single"/>
        </w:rPr>
        <w:t xml:space="preserve">   </w:t>
      </w:r>
      <w:r>
        <w:rPr>
          <w:rFonts w:hint="eastAsia" w:ascii="仿宋_GB2312" w:hAnsi="宋体" w:eastAsia="仿宋_GB2312"/>
          <w:b/>
          <w:color w:val="auto"/>
          <w:sz w:val="32"/>
          <w:szCs w:val="32"/>
          <w:highlight w:val="none"/>
        </w:rPr>
        <w:t>本</w:t>
      </w:r>
    </w:p>
    <w:p w14:paraId="31F117A8">
      <w:pPr>
        <w:shd w:val="clea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14268C8E">
      <w:pPr>
        <w:shd w:val="clea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竞争性磋商响应文件</w:t>
      </w:r>
      <w:r>
        <w:rPr>
          <w:rFonts w:hint="eastAsia" w:ascii="仿宋_GB2312" w:hAnsi="宋体" w:eastAsia="仿宋_GB2312"/>
          <w:color w:val="auto"/>
          <w:sz w:val="28"/>
          <w:szCs w:val="28"/>
          <w:highlight w:val="none"/>
        </w:rPr>
        <w:t>（封面）</w:t>
      </w:r>
    </w:p>
    <w:p w14:paraId="47ED3257">
      <w:pPr>
        <w:shd w:val="clear"/>
        <w:spacing w:line="500" w:lineRule="exact"/>
        <w:ind w:firstLine="420" w:firstLineChars="200"/>
        <w:rPr>
          <w:rFonts w:hint="eastAsia" w:ascii="宋体" w:hAnsi="宋体"/>
          <w:color w:val="auto"/>
          <w:szCs w:val="21"/>
          <w:highlight w:val="none"/>
        </w:rPr>
      </w:pPr>
    </w:p>
    <w:p w14:paraId="080363DD">
      <w:pPr>
        <w:shd w:val="clear"/>
        <w:spacing w:line="500" w:lineRule="exact"/>
        <w:ind w:firstLine="420" w:firstLineChars="200"/>
        <w:rPr>
          <w:rFonts w:hint="eastAsia" w:ascii="宋体" w:hAnsi="宋体"/>
          <w:color w:val="auto"/>
          <w:szCs w:val="21"/>
          <w:highlight w:val="none"/>
        </w:rPr>
      </w:pPr>
    </w:p>
    <w:p w14:paraId="301C488F">
      <w:pPr>
        <w:shd w:val="clear"/>
        <w:spacing w:line="500" w:lineRule="exact"/>
        <w:ind w:firstLine="420" w:firstLineChars="200"/>
        <w:rPr>
          <w:rFonts w:hint="eastAsia" w:ascii="宋体" w:hAnsi="宋体"/>
          <w:color w:val="auto"/>
          <w:szCs w:val="21"/>
          <w:highlight w:val="none"/>
        </w:rPr>
      </w:pPr>
    </w:p>
    <w:p w14:paraId="002771D4">
      <w:pPr>
        <w:shd w:val="clea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7408DF71">
      <w:pPr>
        <w:shd w:val="clea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736C9409">
      <w:pPr>
        <w:shd w:val="clea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7B6B74AC">
      <w:pPr>
        <w:shd w:val="clea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磋商供应商名称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11585384">
      <w:pPr>
        <w:shd w:val="clea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16EC8946">
      <w:pPr>
        <w:shd w:val="clea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5C97BE1A">
      <w:pPr>
        <w:shd w:val="clear"/>
        <w:spacing w:line="520" w:lineRule="exact"/>
        <w:rPr>
          <w:rFonts w:hint="eastAsia" w:ascii="宋体" w:hAnsi="宋体"/>
          <w:color w:val="auto"/>
          <w:szCs w:val="21"/>
          <w:highlight w:val="none"/>
        </w:rPr>
      </w:pPr>
    </w:p>
    <w:p w14:paraId="2D9E64C1">
      <w:pPr>
        <w:shd w:val="clear"/>
        <w:spacing w:line="520" w:lineRule="exact"/>
        <w:ind w:firstLine="3756" w:firstLineChars="1340"/>
        <w:rPr>
          <w:rFonts w:hint="eastAsia" w:ascii="宋体" w:hAnsi="宋体"/>
          <w:b/>
          <w:color w:val="auto"/>
          <w:sz w:val="28"/>
          <w:szCs w:val="28"/>
          <w:highlight w:val="none"/>
        </w:rPr>
      </w:pPr>
    </w:p>
    <w:p w14:paraId="38CB8CF8">
      <w:pPr>
        <w:shd w:val="clear"/>
        <w:spacing w:line="520" w:lineRule="exact"/>
        <w:ind w:firstLine="3756" w:firstLineChars="1340"/>
        <w:rPr>
          <w:rFonts w:hint="eastAsia" w:ascii="宋体" w:hAnsi="宋体"/>
          <w:b/>
          <w:color w:val="auto"/>
          <w:sz w:val="28"/>
          <w:szCs w:val="28"/>
          <w:highlight w:val="none"/>
        </w:rPr>
      </w:pPr>
    </w:p>
    <w:p w14:paraId="5CA93EF1">
      <w:pPr>
        <w:shd w:val="clear"/>
        <w:spacing w:line="520" w:lineRule="exact"/>
        <w:ind w:firstLine="3756" w:firstLineChars="1340"/>
        <w:rPr>
          <w:rFonts w:hint="eastAsia" w:ascii="宋体" w:hAnsi="宋体"/>
          <w:b/>
          <w:color w:val="auto"/>
          <w:sz w:val="28"/>
          <w:szCs w:val="28"/>
          <w:highlight w:val="none"/>
        </w:rPr>
      </w:pPr>
    </w:p>
    <w:p w14:paraId="40221ADA">
      <w:pPr>
        <w:shd w:val="clear"/>
        <w:spacing w:line="520" w:lineRule="exact"/>
        <w:ind w:firstLine="3756" w:firstLineChars="1340"/>
        <w:rPr>
          <w:rFonts w:hint="eastAsia" w:ascii="宋体" w:hAnsi="宋体"/>
          <w:b/>
          <w:color w:val="auto"/>
          <w:sz w:val="28"/>
          <w:szCs w:val="28"/>
          <w:highlight w:val="none"/>
        </w:rPr>
      </w:pPr>
    </w:p>
    <w:p w14:paraId="6D5D5864">
      <w:pPr>
        <w:shd w:val="clea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542ADFCE">
      <w:pPr>
        <w:shd w:val="clea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44DCE3BD">
      <w:pPr>
        <w:shd w:val="clea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344C8DC0">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3CD2BE62">
      <w:pPr>
        <w:shd w:val="clear"/>
        <w:spacing w:line="500" w:lineRule="exact"/>
        <w:rPr>
          <w:rFonts w:hint="eastAsia" w:ascii="宋体" w:hAnsi="宋体"/>
          <w:color w:val="auto"/>
          <w:szCs w:val="21"/>
          <w:highlight w:val="none"/>
        </w:rPr>
      </w:pPr>
      <w:r>
        <w:rPr>
          <w:rFonts w:hint="eastAsia" w:ascii="宋体" w:hAnsi="宋体"/>
          <w:color w:val="auto"/>
          <w:szCs w:val="21"/>
          <w:highlight w:val="none"/>
        </w:rPr>
        <w:t xml:space="preserve">采购项目编号: </w:t>
      </w:r>
      <w:r>
        <w:rPr>
          <w:rFonts w:hint="eastAsia" w:ascii="宋体" w:hAnsi="宋体"/>
          <w:color w:val="auto"/>
          <w:szCs w:val="21"/>
          <w:highlight w:val="none"/>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4543"/>
        <w:gridCol w:w="3736"/>
        <w:gridCol w:w="851"/>
      </w:tblGrid>
      <w:tr w14:paraId="1A4BC8B2">
        <w:trPr>
          <w:cantSplit/>
          <w:trHeight w:val="1579" w:hRule="atLeast"/>
          <w:jc w:val="center"/>
        </w:trPr>
        <w:tc>
          <w:tcPr>
            <w:tcW w:w="627" w:type="dxa"/>
            <w:tcBorders>
              <w:bottom w:val="single" w:color="auto" w:sz="4" w:space="0"/>
            </w:tcBorders>
            <w:noWrap w:val="0"/>
            <w:vAlign w:val="center"/>
          </w:tcPr>
          <w:p w14:paraId="079F04D2">
            <w:pPr>
              <w:pStyle w:val="10"/>
              <w:shd w:val="clear"/>
              <w:spacing w:line="400" w:lineRule="exact"/>
              <w:ind w:left="480" w:hanging="480"/>
              <w:jc w:val="center"/>
              <w:rPr>
                <w:rFonts w:hint="eastAsia" w:hAnsi="宋体"/>
                <w:color w:val="auto"/>
                <w:spacing w:val="-20"/>
                <w:highlight w:val="none"/>
              </w:rPr>
            </w:pPr>
            <w:r>
              <w:rPr>
                <w:rFonts w:hint="eastAsia" w:hAnsi="宋体"/>
                <w:color w:val="auto"/>
                <w:spacing w:val="-20"/>
                <w:highlight w:val="none"/>
              </w:rPr>
              <w:t>序号</w:t>
            </w:r>
          </w:p>
        </w:tc>
        <w:tc>
          <w:tcPr>
            <w:tcW w:w="4543" w:type="dxa"/>
            <w:tcBorders>
              <w:bottom w:val="single" w:color="auto" w:sz="4" w:space="0"/>
            </w:tcBorders>
            <w:noWrap w:val="0"/>
            <w:vAlign w:val="center"/>
          </w:tcPr>
          <w:p w14:paraId="50AA7FFD">
            <w:pPr>
              <w:pStyle w:val="10"/>
              <w:shd w:val="clear"/>
              <w:spacing w:line="400" w:lineRule="exact"/>
              <w:ind w:left="560" w:hanging="560"/>
              <w:jc w:val="center"/>
              <w:rPr>
                <w:rFonts w:hint="eastAsia" w:hAnsi="宋体" w:cs="Times New Roman"/>
                <w:color w:val="auto"/>
                <w:highlight w:val="none"/>
              </w:rPr>
            </w:pPr>
            <w:r>
              <w:rPr>
                <w:rFonts w:hint="eastAsia" w:ascii="宋体" w:hAnsi="宋体"/>
                <w:color w:val="auto"/>
                <w:szCs w:val="21"/>
                <w:highlight w:val="none"/>
              </w:rPr>
              <w:t>服务</w:t>
            </w:r>
            <w:r>
              <w:rPr>
                <w:rFonts w:hint="eastAsia" w:ascii="宋体" w:hAnsi="宋体"/>
                <w:color w:val="auto"/>
                <w:szCs w:val="21"/>
                <w:highlight w:val="none"/>
                <w:lang w:eastAsia="zh-CN"/>
              </w:rPr>
              <w:t>内容</w:t>
            </w:r>
          </w:p>
        </w:tc>
        <w:tc>
          <w:tcPr>
            <w:tcW w:w="3736" w:type="dxa"/>
            <w:tcBorders>
              <w:bottom w:val="single" w:color="auto" w:sz="4" w:space="0"/>
            </w:tcBorders>
            <w:noWrap w:val="0"/>
            <w:vAlign w:val="center"/>
          </w:tcPr>
          <w:p w14:paraId="378B4999">
            <w:pPr>
              <w:shd w:val="clear"/>
              <w:tabs>
                <w:tab w:val="left" w:pos="180"/>
                <w:tab w:val="left" w:pos="1620"/>
              </w:tabs>
              <w:spacing w:line="400" w:lineRule="exact"/>
              <w:jc w:val="center"/>
              <w:rPr>
                <w:rFonts w:hint="eastAsia" w:hAnsi="宋体" w:eastAsia="宋体" w:cs="Times New Roman"/>
                <w:color w:val="auto"/>
                <w:highlight w:val="none"/>
                <w:lang w:eastAsia="zh-CN"/>
              </w:rPr>
            </w:pPr>
            <w:r>
              <w:rPr>
                <w:rFonts w:hint="eastAsia" w:ascii="宋体" w:hAnsi="宋体" w:cs="宋体"/>
                <w:color w:val="auto"/>
                <w:highlight w:val="none"/>
                <w:lang w:val="en-US" w:eastAsia="zh-CN"/>
              </w:rPr>
              <w:t>优惠率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w:t>
            </w:r>
          </w:p>
        </w:tc>
        <w:tc>
          <w:tcPr>
            <w:tcW w:w="851" w:type="dxa"/>
            <w:tcBorders>
              <w:bottom w:val="single" w:color="auto" w:sz="4" w:space="0"/>
            </w:tcBorders>
            <w:noWrap w:val="0"/>
            <w:vAlign w:val="center"/>
          </w:tcPr>
          <w:p w14:paraId="1112C945">
            <w:pPr>
              <w:pStyle w:val="10"/>
              <w:shd w:val="clear"/>
              <w:spacing w:line="400" w:lineRule="exact"/>
              <w:ind w:left="560" w:hanging="560"/>
              <w:jc w:val="center"/>
              <w:rPr>
                <w:rFonts w:hint="eastAsia" w:hAnsi="宋体"/>
                <w:color w:val="auto"/>
                <w:highlight w:val="none"/>
              </w:rPr>
            </w:pPr>
            <w:r>
              <w:rPr>
                <w:rFonts w:hint="eastAsia" w:hAnsi="宋体"/>
                <w:color w:val="auto"/>
                <w:highlight w:val="none"/>
              </w:rPr>
              <w:t>备注</w:t>
            </w:r>
          </w:p>
        </w:tc>
      </w:tr>
      <w:tr w14:paraId="6FE8F0CB">
        <w:trPr>
          <w:cantSplit/>
          <w:trHeight w:val="1313" w:hRule="atLeast"/>
          <w:jc w:val="center"/>
        </w:trPr>
        <w:tc>
          <w:tcPr>
            <w:tcW w:w="627" w:type="dxa"/>
            <w:noWrap w:val="0"/>
            <w:vAlign w:val="center"/>
          </w:tcPr>
          <w:p w14:paraId="3B9703FF">
            <w:pPr>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4543" w:type="dxa"/>
            <w:noWrap w:val="0"/>
            <w:vAlign w:val="center"/>
          </w:tcPr>
          <w:p w14:paraId="03EE6518">
            <w:pPr>
              <w:pStyle w:val="10"/>
              <w:keepNext w:val="0"/>
              <w:keepLines w:val="0"/>
              <w:pageBreakBefore w:val="0"/>
              <w:widowControl w:val="0"/>
              <w:shd w:val="clear"/>
              <w:kinsoku/>
              <w:wordWrap/>
              <w:overflowPunct/>
              <w:topLinePunct w:val="0"/>
              <w:autoSpaceDE/>
              <w:autoSpaceDN/>
              <w:bidi w:val="0"/>
              <w:adjustRightInd/>
              <w:snapToGrid/>
              <w:ind w:left="0" w:firstLine="0"/>
              <w:jc w:val="center"/>
              <w:textAlignment w:val="auto"/>
              <w:rPr>
                <w:rFonts w:hint="eastAsia" w:hAnsi="宋体"/>
                <w:color w:val="auto"/>
                <w:highlight w:val="none"/>
              </w:rPr>
            </w:pPr>
            <w:r>
              <w:rPr>
                <w:rFonts w:hint="eastAsia" w:hAnsi="宋体" w:cs="宋体"/>
                <w:color w:val="auto"/>
                <w:szCs w:val="21"/>
                <w:highlight w:val="none"/>
                <w:lang w:eastAsia="zh-CN"/>
              </w:rPr>
              <w:t>广西制造工程职业技术学院40#、41#、42#学生宿舍楼项目</w:t>
            </w:r>
            <w:r>
              <w:rPr>
                <w:rFonts w:hint="eastAsia" w:hAnsi="宋体" w:cs="宋体"/>
                <w:color w:val="auto"/>
                <w:szCs w:val="21"/>
                <w:highlight w:val="none"/>
                <w:lang w:val="en-US" w:eastAsia="zh-CN"/>
              </w:rPr>
              <w:t>全过程跟踪审计</w:t>
            </w:r>
            <w:r>
              <w:rPr>
                <w:rFonts w:hint="eastAsia" w:hAnsi="宋体" w:cs="宋体"/>
                <w:color w:val="auto"/>
                <w:szCs w:val="21"/>
                <w:highlight w:val="none"/>
                <w:lang w:eastAsia="zh-CN"/>
              </w:rPr>
              <w:t>（</w:t>
            </w:r>
            <w:r>
              <w:rPr>
                <w:color w:val="auto"/>
                <w:spacing w:val="2"/>
                <w:highlight w:val="none"/>
              </w:rPr>
              <w:t>施工过程造价咨询</w:t>
            </w:r>
            <w:r>
              <w:rPr>
                <w:rFonts w:hint="eastAsia"/>
                <w:color w:val="auto"/>
                <w:spacing w:val="2"/>
                <w:highlight w:val="none"/>
                <w:lang w:eastAsia="zh-CN"/>
              </w:rPr>
              <w:t>、</w:t>
            </w:r>
            <w:r>
              <w:rPr>
                <w:color w:val="auto"/>
                <w:spacing w:val="4"/>
                <w:highlight w:val="none"/>
              </w:rPr>
              <w:t>工</w:t>
            </w:r>
            <w:r>
              <w:rPr>
                <w:color w:val="auto"/>
                <w:spacing w:val="2"/>
                <w:highlight w:val="none"/>
              </w:rPr>
              <w:t>程竣工结算审核</w:t>
            </w:r>
            <w:r>
              <w:rPr>
                <w:rFonts w:hint="eastAsia" w:hAnsi="宋体" w:cs="宋体"/>
                <w:color w:val="auto"/>
                <w:szCs w:val="21"/>
                <w:highlight w:val="none"/>
                <w:lang w:eastAsia="zh-CN"/>
              </w:rPr>
              <w:t>）</w:t>
            </w:r>
            <w:r>
              <w:rPr>
                <w:rFonts w:hint="eastAsia" w:hAnsi="宋体" w:cs="宋体"/>
                <w:color w:val="auto"/>
                <w:szCs w:val="21"/>
                <w:highlight w:val="none"/>
                <w:lang w:val="en-US" w:eastAsia="zh-CN"/>
              </w:rPr>
              <w:t>服务</w:t>
            </w:r>
          </w:p>
        </w:tc>
        <w:tc>
          <w:tcPr>
            <w:tcW w:w="3736" w:type="dxa"/>
            <w:noWrap w:val="0"/>
            <w:vAlign w:val="center"/>
          </w:tcPr>
          <w:p w14:paraId="25906B7D">
            <w:pPr>
              <w:pStyle w:val="10"/>
              <w:shd w:val="clear"/>
              <w:ind w:left="560" w:hanging="560"/>
              <w:rPr>
                <w:rFonts w:hint="eastAsia" w:hAnsi="宋体"/>
                <w:color w:val="auto"/>
                <w:highlight w:val="none"/>
              </w:rPr>
            </w:pPr>
          </w:p>
        </w:tc>
        <w:tc>
          <w:tcPr>
            <w:tcW w:w="851" w:type="dxa"/>
            <w:noWrap w:val="0"/>
            <w:vAlign w:val="center"/>
          </w:tcPr>
          <w:p w14:paraId="77F26C71">
            <w:pPr>
              <w:pStyle w:val="10"/>
              <w:shd w:val="clear"/>
              <w:ind w:left="536" w:hanging="536"/>
              <w:jc w:val="center"/>
              <w:rPr>
                <w:rFonts w:hint="eastAsia" w:hAnsi="宋体"/>
                <w:color w:val="auto"/>
                <w:spacing w:val="-6"/>
                <w:highlight w:val="none"/>
              </w:rPr>
            </w:pPr>
          </w:p>
        </w:tc>
      </w:tr>
      <w:tr w14:paraId="7CBBBE01">
        <w:trPr>
          <w:cantSplit/>
          <w:trHeight w:val="941" w:hRule="atLeast"/>
          <w:jc w:val="center"/>
        </w:trPr>
        <w:tc>
          <w:tcPr>
            <w:tcW w:w="9757" w:type="dxa"/>
            <w:gridSpan w:val="4"/>
            <w:noWrap w:val="0"/>
            <w:vAlign w:val="center"/>
          </w:tcPr>
          <w:p w14:paraId="06912182">
            <w:pPr>
              <w:pStyle w:val="10"/>
              <w:shd w:val="clear"/>
              <w:ind w:left="536" w:hanging="536"/>
              <w:rPr>
                <w:rFonts w:hint="default" w:hAnsi="宋体" w:eastAsia="宋体"/>
                <w:color w:val="auto"/>
                <w:spacing w:val="-6"/>
                <w:highlight w:val="none"/>
                <w:lang w:val="en-US" w:eastAsia="zh-CN"/>
              </w:rPr>
            </w:pPr>
            <w:r>
              <w:rPr>
                <w:rFonts w:hint="eastAsia" w:hAnsi="宋体"/>
                <w:color w:val="auto"/>
                <w:spacing w:val="-6"/>
                <w:highlight w:val="none"/>
                <w:lang w:val="en-US" w:eastAsia="zh-CN"/>
              </w:rPr>
              <w:t>有效报价区间：0%≤价格优惠率≤30%。</w:t>
            </w:r>
          </w:p>
        </w:tc>
      </w:tr>
      <w:tr w14:paraId="47C44570">
        <w:trPr>
          <w:cantSplit/>
          <w:trHeight w:val="941" w:hRule="atLeast"/>
          <w:jc w:val="center"/>
        </w:trPr>
        <w:tc>
          <w:tcPr>
            <w:tcW w:w="9757" w:type="dxa"/>
            <w:gridSpan w:val="4"/>
            <w:noWrap w:val="0"/>
            <w:vAlign w:val="center"/>
          </w:tcPr>
          <w:p w14:paraId="556E3968">
            <w:pPr>
              <w:pStyle w:val="10"/>
              <w:keepNext w:val="0"/>
              <w:keepLines w:val="0"/>
              <w:pageBreakBefore w:val="0"/>
              <w:widowControl w:val="0"/>
              <w:shd w:val="clear"/>
              <w:kinsoku/>
              <w:wordWrap/>
              <w:overflowPunct/>
              <w:topLinePunct w:val="0"/>
              <w:autoSpaceDE/>
              <w:autoSpaceDN/>
              <w:bidi w:val="0"/>
              <w:adjustRightInd/>
              <w:snapToGrid/>
              <w:spacing w:line="380" w:lineRule="exact"/>
              <w:textAlignment w:val="auto"/>
              <w:rPr>
                <w:rFonts w:hint="eastAsia" w:hAnsi="宋体" w:eastAsia="宋体"/>
                <w:color w:val="auto"/>
                <w:spacing w:val="-6"/>
                <w:highlight w:val="none"/>
                <w:lang w:eastAsia="zh-CN"/>
              </w:rPr>
            </w:pPr>
            <w:r>
              <w:rPr>
                <w:rFonts w:hint="eastAsia"/>
                <w:color w:val="auto"/>
                <w:szCs w:val="21"/>
                <w:highlight w:val="none"/>
                <w:lang w:val="en-US" w:eastAsia="zh-CN"/>
              </w:rPr>
              <w:t>服务期限</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rFonts w:hint="eastAsia"/>
                <w:color w:val="auto"/>
                <w:szCs w:val="21"/>
                <w:highlight w:val="none"/>
                <w:lang w:eastAsia="zh-CN"/>
              </w:rPr>
              <w:t>。</w:t>
            </w:r>
          </w:p>
        </w:tc>
      </w:tr>
    </w:tbl>
    <w:p w14:paraId="4DE9F60B">
      <w:pPr>
        <w:shd w:val="clear"/>
        <w:spacing w:line="400" w:lineRule="exact"/>
        <w:rPr>
          <w:rFonts w:hint="eastAsia" w:ascii="宋体" w:hAnsi="宋体"/>
          <w:color w:val="auto"/>
          <w:szCs w:val="21"/>
          <w:highlight w:val="none"/>
        </w:rPr>
      </w:pPr>
    </w:p>
    <w:p w14:paraId="39E28D5F">
      <w:pPr>
        <w:shd w:val="clear"/>
        <w:spacing w:line="400" w:lineRule="exact"/>
        <w:ind w:firstLine="0" w:firstLineChars="0"/>
        <w:rPr>
          <w:rFonts w:hint="eastAsia" w:ascii="宋体" w:hAnsi="宋体"/>
          <w:color w:val="auto"/>
          <w:szCs w:val="21"/>
          <w:highlight w:val="none"/>
        </w:rPr>
      </w:pPr>
      <w:r>
        <w:rPr>
          <w:rFonts w:hint="eastAsia" w:ascii="宋体" w:hAnsi="宋体"/>
          <w:color w:val="auto"/>
          <w:szCs w:val="21"/>
          <w:highlight w:val="none"/>
        </w:rPr>
        <w:t>注：1</w:t>
      </w:r>
      <w:r>
        <w:rPr>
          <w:rFonts w:hint="eastAsia" w:ascii="宋体" w:hAnsi="宋体"/>
          <w:color w:val="auto"/>
          <w:szCs w:val="21"/>
          <w:highlight w:val="none"/>
          <w:lang w:val="en-US" w:eastAsia="zh-CN"/>
        </w:rPr>
        <w:t>.</w:t>
      </w:r>
      <w:r>
        <w:rPr>
          <w:rFonts w:hint="eastAsia" w:ascii="宋体" w:hAnsi="宋体"/>
          <w:color w:val="auto"/>
          <w:szCs w:val="21"/>
          <w:highlight w:val="none"/>
        </w:rPr>
        <w:t>所有价格均用人民币表示，单位为元，精确到</w:t>
      </w:r>
      <w:r>
        <w:rPr>
          <w:rFonts w:hint="eastAsia" w:ascii="宋体" w:hAnsi="宋体"/>
          <w:color w:val="auto"/>
          <w:szCs w:val="21"/>
          <w:highlight w:val="none"/>
          <w:lang w:eastAsia="zh-CN"/>
        </w:rPr>
        <w:t>小数点后两位数</w:t>
      </w:r>
      <w:r>
        <w:rPr>
          <w:rFonts w:hint="eastAsia" w:ascii="宋体" w:hAnsi="宋体"/>
          <w:color w:val="auto"/>
          <w:szCs w:val="21"/>
          <w:highlight w:val="none"/>
        </w:rPr>
        <w:t>。</w:t>
      </w:r>
      <w:r>
        <w:rPr>
          <w:rFonts w:hint="eastAsia" w:ascii="宋体" w:hAnsi="宋体"/>
          <w:b/>
          <w:bCs/>
          <w:color w:val="auto"/>
          <w:szCs w:val="21"/>
          <w:highlight w:val="none"/>
          <w:u w:val="single"/>
          <w:lang w:val="en-US" w:eastAsia="zh-CN"/>
        </w:rPr>
        <w:t>报价只填数字，无需填写单位</w:t>
      </w:r>
      <w:r>
        <w:rPr>
          <w:rFonts w:hint="eastAsia" w:ascii="宋体" w:hAnsi="宋体"/>
          <w:color w:val="auto"/>
          <w:szCs w:val="21"/>
          <w:highlight w:val="none"/>
          <w:lang w:val="en-US" w:eastAsia="zh-CN"/>
        </w:rPr>
        <w:t>。</w:t>
      </w:r>
    </w:p>
    <w:p w14:paraId="4A8BF853">
      <w:pPr>
        <w:pStyle w:val="10"/>
        <w:shd w:val="clear"/>
        <w:spacing w:line="500" w:lineRule="exact"/>
        <w:ind w:firstLine="420" w:firstLineChars="200"/>
        <w:rPr>
          <w:rFonts w:hint="eastAsia" w:hAnsi="宋体"/>
          <w:color w:val="auto"/>
          <w:highlight w:val="none"/>
          <w:lang w:val="en-US" w:eastAsia="zh-CN"/>
        </w:rPr>
      </w:pPr>
      <w:r>
        <w:rPr>
          <w:rFonts w:hint="eastAsia" w:hAnsi="宋体"/>
          <w:color w:val="auto"/>
          <w:highlight w:val="none"/>
          <w:lang w:val="en-US" w:eastAsia="zh-CN"/>
        </w:rPr>
        <w:t>2.报价要求：以优惠率进行报价，具体如下：</w:t>
      </w:r>
    </w:p>
    <w:p w14:paraId="3B7176BA">
      <w:pPr>
        <w:pStyle w:val="10"/>
        <w:shd w:val="clear"/>
        <w:spacing w:line="500" w:lineRule="exact"/>
        <w:ind w:firstLine="428" w:firstLineChars="200"/>
        <w:rPr>
          <w:rFonts w:hint="eastAsia" w:hAnsi="宋体"/>
          <w:color w:val="auto"/>
          <w:highlight w:val="none"/>
          <w:lang w:val="en-US" w:eastAsia="zh-CN"/>
        </w:rPr>
      </w:pPr>
      <w:r>
        <w:rPr>
          <w:color w:val="auto"/>
          <w:spacing w:val="2"/>
          <w:highlight w:val="none"/>
        </w:rPr>
        <w:t>施工过程造价咨询</w:t>
      </w:r>
      <w:r>
        <w:rPr>
          <w:rFonts w:hint="eastAsia"/>
          <w:color w:val="auto"/>
          <w:spacing w:val="2"/>
          <w:highlight w:val="none"/>
          <w:lang w:eastAsia="zh-CN"/>
        </w:rPr>
        <w:t>、</w:t>
      </w:r>
      <w:r>
        <w:rPr>
          <w:color w:val="auto"/>
          <w:spacing w:val="4"/>
          <w:highlight w:val="none"/>
        </w:rPr>
        <w:t>工</w:t>
      </w:r>
      <w:r>
        <w:rPr>
          <w:color w:val="auto"/>
          <w:spacing w:val="2"/>
          <w:highlight w:val="none"/>
        </w:rPr>
        <w:t>程竣工结算审核</w:t>
      </w:r>
      <w:r>
        <w:rPr>
          <w:rFonts w:hint="eastAsia" w:hAnsi="宋体"/>
          <w:color w:val="auto"/>
          <w:highlight w:val="none"/>
          <w:lang w:val="en-US" w:eastAsia="zh-CN"/>
        </w:rPr>
        <w:t>：有效报价区间为0%≤价格优惠率≤30%。</w:t>
      </w:r>
    </w:p>
    <w:p w14:paraId="57E3A8BF">
      <w:pPr>
        <w:pStyle w:val="10"/>
        <w:shd w:val="clear"/>
        <w:spacing w:line="500" w:lineRule="exact"/>
        <w:ind w:firstLine="420" w:firstLineChars="200"/>
        <w:rPr>
          <w:rFonts w:hint="eastAsia" w:hAnsi="宋体"/>
          <w:color w:val="auto"/>
          <w:highlight w:val="none"/>
          <w:lang w:val="en-US" w:eastAsia="zh-CN"/>
        </w:rPr>
      </w:pPr>
      <w:r>
        <w:rPr>
          <w:rFonts w:hint="eastAsia" w:hAnsi="宋体"/>
          <w:color w:val="auto"/>
          <w:highlight w:val="none"/>
          <w:lang w:val="en-US" w:eastAsia="zh-CN"/>
        </w:rPr>
        <w:t>3.上述报价超出有效区间的，其响应文件作无效竞标处理。项目总额不得超过项目预算金额（53.87万元），超出部分采购人不再支付。</w:t>
      </w:r>
    </w:p>
    <w:p w14:paraId="1F2038F5">
      <w:pPr>
        <w:pStyle w:val="10"/>
        <w:shd w:val="clear"/>
        <w:spacing w:line="500" w:lineRule="exact"/>
        <w:ind w:firstLine="420" w:firstLineChars="200"/>
        <w:rPr>
          <w:rFonts w:hint="default" w:hAnsi="宋体" w:eastAsia="宋体"/>
          <w:color w:val="auto"/>
          <w:highlight w:val="none"/>
          <w:lang w:val="en-US" w:eastAsia="zh-CN"/>
        </w:rPr>
      </w:pPr>
      <w:r>
        <w:rPr>
          <w:rFonts w:hint="eastAsia" w:hAnsi="宋体"/>
          <w:color w:val="auto"/>
          <w:highlight w:val="none"/>
          <w:lang w:val="en-US" w:eastAsia="zh-CN"/>
        </w:rPr>
        <w:t>4.竞标报价包括但不限于：完成本项目所需的设备和人力成本、服务费、驻场费用、管理费用、成果文件印制费、专家评审费（如涉及）、通讯费、差旅费、交通费、保险费、税费等以及合同明示所有责任、义务和一般风险，采购人不再支付任何费用。</w:t>
      </w:r>
    </w:p>
    <w:p w14:paraId="71CAB6B8">
      <w:pPr>
        <w:pStyle w:val="10"/>
        <w:shd w:val="clear"/>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14:paraId="6EDD622A">
      <w:pPr>
        <w:pStyle w:val="10"/>
        <w:shd w:val="clear"/>
        <w:spacing w:line="500" w:lineRule="exact"/>
        <w:ind w:firstLine="420" w:firstLineChars="2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6A2308AE">
      <w:pPr>
        <w:shd w:val="clea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7A388087">
      <w:pPr>
        <w:shd w:val="clea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5DEBB3F8">
      <w:pPr>
        <w:shd w:val="clear"/>
        <w:spacing w:line="5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磋  商  书</w:t>
      </w:r>
    </w:p>
    <w:p w14:paraId="5B591BB2">
      <w:pPr>
        <w:shd w:val="clear"/>
        <w:spacing w:line="520" w:lineRule="exact"/>
        <w:jc w:val="center"/>
        <w:rPr>
          <w:rFonts w:hint="eastAsia" w:ascii="宋体" w:hAnsi="宋体"/>
          <w:b/>
          <w:color w:val="auto"/>
          <w:szCs w:val="21"/>
          <w:highlight w:val="none"/>
        </w:rPr>
      </w:pPr>
    </w:p>
    <w:p w14:paraId="7A74107A">
      <w:pPr>
        <w:pStyle w:val="10"/>
        <w:shd w:val="clear"/>
        <w:spacing w:line="520" w:lineRule="exact"/>
        <w:rPr>
          <w:rFonts w:hint="eastAsia" w:hAnsi="宋体"/>
          <w:color w:val="auto"/>
          <w:highlight w:val="none"/>
        </w:rPr>
      </w:pPr>
      <w:r>
        <w:rPr>
          <w:rFonts w:hint="eastAsia" w:ascii="宋体" w:eastAsia="宋体"/>
          <w:color w:val="auto"/>
          <w:highlight w:val="none"/>
          <w:lang w:eastAsia="zh-CN"/>
        </w:rPr>
        <w:t>广西国力招标有限公司</w:t>
      </w:r>
      <w:r>
        <w:rPr>
          <w:rFonts w:hint="eastAsia" w:hAnsi="宋体"/>
          <w:color w:val="auto"/>
          <w:highlight w:val="none"/>
        </w:rPr>
        <w:t>：</w:t>
      </w:r>
    </w:p>
    <w:p w14:paraId="2DD141FF">
      <w:pPr>
        <w:pStyle w:val="10"/>
        <w:shd w:val="clear"/>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项目采购的磋商邀请，我方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（磋商供应商名称、地址）</w:t>
      </w:r>
      <w:r>
        <w:rPr>
          <w:rFonts w:hint="eastAsia" w:hAnsi="宋体"/>
          <w:color w:val="auto"/>
          <w:highlight w:val="none"/>
        </w:rPr>
        <w:t>提交下述竞争性磋商响应文件</w:t>
      </w:r>
      <w:r>
        <w:rPr>
          <w:rFonts w:hint="eastAsia" w:hAnsi="宋体"/>
          <w:b/>
          <w:color w:val="auto"/>
          <w:highlight w:val="none"/>
        </w:rPr>
        <w:t>（价格文件、商务技术文件），其中</w:t>
      </w:r>
      <w:r>
        <w:rPr>
          <w:rFonts w:hint="eastAsia" w:hAnsi="宋体"/>
          <w:color w:val="auto"/>
          <w:highlight w:val="none"/>
        </w:rPr>
        <w:t>正本</w:t>
      </w:r>
      <w:r>
        <w:rPr>
          <w:rFonts w:hint="eastAsia" w:hAnsi="宋体"/>
          <w:color w:val="auto"/>
          <w:highlight w:val="none"/>
          <w:u w:val="single"/>
          <w:lang w:val="en-US" w:eastAsia="zh-CN"/>
        </w:rPr>
        <w:t xml:space="preserve"> </w:t>
      </w:r>
      <w:r>
        <w:rPr>
          <w:rFonts w:hint="eastAsia" w:hAnsi="宋体"/>
          <w:color w:val="auto"/>
          <w:highlight w:val="none"/>
          <w:u w:val="single"/>
        </w:rPr>
        <w:t>一</w:t>
      </w:r>
      <w:r>
        <w:rPr>
          <w:rFonts w:hint="eastAsia" w:hAnsi="宋体"/>
          <w:color w:val="auto"/>
          <w:highlight w:val="none"/>
          <w:u w:val="single"/>
          <w:lang w:val="en-US" w:eastAsia="zh-CN"/>
        </w:rPr>
        <w:t xml:space="preserve"> </w:t>
      </w:r>
      <w:r>
        <w:rPr>
          <w:rFonts w:hint="eastAsia" w:hAnsi="宋体"/>
          <w:color w:val="auto"/>
          <w:highlight w:val="none"/>
        </w:rPr>
        <w:t>份、副本</w:t>
      </w:r>
      <w:r>
        <w:rPr>
          <w:rFonts w:hint="eastAsia" w:hAnsi="宋体"/>
          <w:color w:val="auto"/>
          <w:highlight w:val="none"/>
          <w:u w:val="single"/>
          <w:lang w:val="en-US" w:eastAsia="zh-CN"/>
        </w:rPr>
        <w:t xml:space="preserve">    </w:t>
      </w:r>
      <w:r>
        <w:rPr>
          <w:rFonts w:hint="eastAsia" w:hAnsi="宋体"/>
          <w:color w:val="auto"/>
          <w:highlight w:val="none"/>
        </w:rPr>
        <w:t>份。供应商在递交响应文件时，同时递交响应文件电子版（将响应文件电子版光盘或U盘与纸质版响应文件一并装入响应文件袋中。）</w:t>
      </w:r>
    </w:p>
    <w:p w14:paraId="6C7F6F4F">
      <w:pPr>
        <w:pStyle w:val="10"/>
        <w:shd w:val="clear"/>
        <w:spacing w:line="520" w:lineRule="exact"/>
        <w:ind w:firstLine="480"/>
        <w:rPr>
          <w:rFonts w:hint="eastAsia" w:hAnsi="宋体"/>
          <w:color w:val="auto"/>
          <w:highlight w:val="none"/>
        </w:rPr>
      </w:pPr>
      <w:r>
        <w:rPr>
          <w:rFonts w:hint="eastAsia" w:hAnsi="宋体"/>
          <w:color w:val="auto"/>
          <w:highlight w:val="none"/>
        </w:rPr>
        <w:t>1. 报价表；</w:t>
      </w:r>
    </w:p>
    <w:p w14:paraId="6837594B">
      <w:pPr>
        <w:pStyle w:val="10"/>
        <w:shd w:val="clear"/>
        <w:spacing w:line="520" w:lineRule="exact"/>
        <w:ind w:firstLine="480"/>
        <w:rPr>
          <w:rFonts w:hint="eastAsia" w:hAnsi="宋体"/>
          <w:color w:val="auto"/>
          <w:highlight w:val="none"/>
        </w:rPr>
      </w:pPr>
      <w:r>
        <w:rPr>
          <w:rFonts w:hint="eastAsia" w:hAnsi="宋体"/>
          <w:color w:val="auto"/>
          <w:highlight w:val="none"/>
        </w:rPr>
        <w:t>2. 商务、服务响应、偏离情况说明表；</w:t>
      </w:r>
    </w:p>
    <w:p w14:paraId="4D50AC61">
      <w:pPr>
        <w:pStyle w:val="10"/>
        <w:shd w:val="clear"/>
        <w:spacing w:line="520" w:lineRule="exact"/>
        <w:ind w:firstLine="480"/>
        <w:rPr>
          <w:rFonts w:hint="eastAsia" w:hAnsi="宋体"/>
          <w:color w:val="auto"/>
          <w:highlight w:val="none"/>
        </w:rPr>
      </w:pPr>
      <w:r>
        <w:rPr>
          <w:rFonts w:hint="eastAsia" w:hAnsi="宋体"/>
          <w:color w:val="auto"/>
          <w:highlight w:val="none"/>
        </w:rPr>
        <w:t>3. 资格证明文件；</w:t>
      </w:r>
    </w:p>
    <w:p w14:paraId="4D6A496D">
      <w:pPr>
        <w:pStyle w:val="10"/>
        <w:shd w:val="clear"/>
        <w:spacing w:line="520" w:lineRule="exact"/>
        <w:ind w:firstLine="480"/>
        <w:rPr>
          <w:rFonts w:hint="eastAsia" w:hAnsi="宋体"/>
          <w:color w:val="auto"/>
          <w:highlight w:val="none"/>
        </w:rPr>
      </w:pPr>
      <w:r>
        <w:rPr>
          <w:rFonts w:hint="eastAsia" w:hAnsi="宋体"/>
          <w:color w:val="auto"/>
          <w:highlight w:val="none"/>
        </w:rPr>
        <w:t>4. 按竞争性磋商文件磋商供应商须知和采购需求提供的有关文件；</w:t>
      </w:r>
    </w:p>
    <w:p w14:paraId="76C7FB78">
      <w:pPr>
        <w:pStyle w:val="10"/>
        <w:shd w:val="clear"/>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5D3E93F0">
      <w:pPr>
        <w:pStyle w:val="10"/>
        <w:shd w:val="clear"/>
        <w:spacing w:line="520" w:lineRule="exact"/>
        <w:ind w:firstLine="480"/>
        <w:rPr>
          <w:rFonts w:hint="eastAsia" w:hAnsi="宋体"/>
          <w:color w:val="auto"/>
          <w:highlight w:val="none"/>
        </w:rPr>
      </w:pPr>
      <w:r>
        <w:rPr>
          <w:rFonts w:hint="eastAsia" w:hAnsi="宋体"/>
          <w:color w:val="auto"/>
          <w:highlight w:val="none"/>
        </w:rPr>
        <w:t>1. 将按竞争性磋商文件的约定履行合同责任和义务；</w:t>
      </w:r>
    </w:p>
    <w:p w14:paraId="060626F7">
      <w:pPr>
        <w:pStyle w:val="10"/>
        <w:shd w:val="clear"/>
        <w:spacing w:line="520" w:lineRule="exact"/>
        <w:ind w:firstLine="480"/>
        <w:rPr>
          <w:rFonts w:hint="eastAsia" w:hAnsi="宋体"/>
          <w:color w:val="auto"/>
          <w:highlight w:val="none"/>
        </w:rPr>
      </w:pPr>
      <w:r>
        <w:rPr>
          <w:rFonts w:hint="eastAsia" w:hAnsi="宋体"/>
          <w:color w:val="auto"/>
          <w:highlight w:val="none"/>
        </w:rPr>
        <w:t>2. 已详细审查全部竞争性磋商文件，包括</w:t>
      </w:r>
      <w:r>
        <w:rPr>
          <w:rFonts w:hint="eastAsia" w:hAnsi="宋体"/>
          <w:color w:val="auto"/>
          <w:highlight w:val="none"/>
          <w:u w:val="single"/>
        </w:rPr>
        <w:t>（补遗文件）（如果有的话）</w:t>
      </w:r>
      <w:r>
        <w:rPr>
          <w:rFonts w:hint="eastAsia" w:hAnsi="宋体"/>
          <w:color w:val="auto"/>
          <w:highlight w:val="none"/>
        </w:rPr>
        <w:t>；</w:t>
      </w:r>
    </w:p>
    <w:p w14:paraId="747D6A49">
      <w:pPr>
        <w:pStyle w:val="10"/>
        <w:shd w:val="clear"/>
        <w:spacing w:line="520" w:lineRule="exact"/>
        <w:ind w:firstLine="480"/>
        <w:rPr>
          <w:rFonts w:hint="eastAsia" w:hAnsi="宋体"/>
          <w:color w:val="auto"/>
          <w:highlight w:val="none"/>
        </w:rPr>
      </w:pPr>
      <w:r>
        <w:rPr>
          <w:rFonts w:hint="eastAsia" w:hAnsi="宋体"/>
          <w:color w:val="auto"/>
          <w:highlight w:val="none"/>
        </w:rPr>
        <w:t>3. 同意提供按照贵方可能要求的与其磋商有关的一切数据或资料；</w:t>
      </w:r>
    </w:p>
    <w:p w14:paraId="00007A3B">
      <w:pPr>
        <w:pStyle w:val="10"/>
        <w:shd w:val="clear"/>
        <w:spacing w:line="520" w:lineRule="exact"/>
        <w:ind w:firstLine="480"/>
        <w:rPr>
          <w:rFonts w:hint="eastAsia" w:hAnsi="宋体"/>
          <w:color w:val="auto"/>
          <w:highlight w:val="none"/>
          <w:u w:val="single"/>
        </w:rPr>
      </w:pPr>
      <w:r>
        <w:rPr>
          <w:rFonts w:hint="eastAsia" w:hAnsi="宋体"/>
          <w:color w:val="auto"/>
          <w:highlight w:val="none"/>
        </w:rPr>
        <w:t>4. 与本磋商有关的一切正式往来信函请寄：</w:t>
      </w:r>
      <w:r>
        <w:rPr>
          <w:rFonts w:hint="eastAsia" w:hAnsi="宋体"/>
          <w:color w:val="auto"/>
          <w:highlight w:val="none"/>
          <w:u w:val="single"/>
        </w:rPr>
        <w:t xml:space="preserve">                                    </w:t>
      </w:r>
    </w:p>
    <w:p w14:paraId="2ABDCA50">
      <w:pPr>
        <w:pStyle w:val="10"/>
        <w:shd w:val="clear"/>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190644F4">
      <w:pPr>
        <w:pStyle w:val="10"/>
        <w:shd w:val="clear"/>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50B0C60E">
      <w:pPr>
        <w:pStyle w:val="10"/>
        <w:shd w:val="clear"/>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2F7C788F">
      <w:pPr>
        <w:pStyle w:val="10"/>
        <w:shd w:val="clear"/>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w:t>
      </w:r>
      <w:r>
        <w:rPr>
          <w:rFonts w:hint="eastAsia" w:hAnsi="宋体"/>
          <w:color w:val="auto"/>
          <w:highlight w:val="none"/>
          <w:u w:val="single"/>
        </w:rPr>
        <w:t xml:space="preserve">                       </w:t>
      </w:r>
    </w:p>
    <w:p w14:paraId="47F3FA91">
      <w:pPr>
        <w:pStyle w:val="10"/>
        <w:shd w:val="clear"/>
        <w:spacing w:line="520" w:lineRule="exact"/>
        <w:ind w:firstLine="840"/>
        <w:rPr>
          <w:rFonts w:hint="eastAsia" w:hAnsi="宋体"/>
          <w:color w:val="auto"/>
          <w:highlight w:val="none"/>
        </w:rPr>
      </w:pPr>
      <w:r>
        <w:rPr>
          <w:rFonts w:hint="eastAsia" w:hAnsi="宋体"/>
          <w:color w:val="auto"/>
          <w:highlight w:val="none"/>
        </w:rPr>
        <w:t>磋商供应商名称（盖章）：</w:t>
      </w:r>
      <w:r>
        <w:rPr>
          <w:rFonts w:hint="eastAsia" w:hAnsi="宋体"/>
          <w:color w:val="auto"/>
          <w:highlight w:val="none"/>
          <w:u w:val="single"/>
        </w:rPr>
        <w:t xml:space="preserve">                                                </w:t>
      </w:r>
    </w:p>
    <w:p w14:paraId="25E21CB9">
      <w:pPr>
        <w:pStyle w:val="10"/>
        <w:shd w:val="clear"/>
        <w:spacing w:line="520" w:lineRule="exact"/>
        <w:ind w:firstLine="840"/>
        <w:rPr>
          <w:rFonts w:hint="eastAsia" w:hAnsi="宋体"/>
          <w:color w:val="auto"/>
          <w:highlight w:val="none"/>
        </w:rPr>
      </w:pPr>
      <w:r>
        <w:rPr>
          <w:rFonts w:hint="eastAsia" w:hAnsi="宋体"/>
          <w:color w:val="auto"/>
          <w:highlight w:val="none"/>
        </w:rPr>
        <w:t xml:space="preserve">                     </w:t>
      </w:r>
    </w:p>
    <w:p w14:paraId="668851B1">
      <w:pPr>
        <w:shd w:val="clear"/>
        <w:adjustRightInd w:val="0"/>
        <w:snapToGrid w:val="0"/>
        <w:spacing w:line="300" w:lineRule="auto"/>
        <w:ind w:left="-88" w:leftChars="-42"/>
        <w:rPr>
          <w:rFonts w:hint="eastAsia" w:ascii="宋体" w:hAnsi="宋体"/>
          <w:color w:val="auto"/>
          <w:szCs w:val="21"/>
          <w:highlight w:val="none"/>
        </w:rPr>
      </w:pPr>
    </w:p>
    <w:p w14:paraId="79580422">
      <w:pPr>
        <w:shd w:val="clear"/>
        <w:adjustRightInd w:val="0"/>
        <w:snapToGrid w:val="0"/>
        <w:spacing w:line="300" w:lineRule="auto"/>
        <w:ind w:left="-88" w:leftChars="-42"/>
        <w:rPr>
          <w:rFonts w:hint="eastAsia" w:ascii="宋体" w:hAnsi="宋体"/>
          <w:color w:val="auto"/>
          <w:szCs w:val="21"/>
          <w:highlight w:val="none"/>
        </w:rPr>
      </w:pPr>
    </w:p>
    <w:p w14:paraId="34A9A4CC">
      <w:pPr>
        <w:shd w:val="clear"/>
        <w:adjustRightInd w:val="0"/>
        <w:snapToGrid w:val="0"/>
        <w:spacing w:line="300" w:lineRule="auto"/>
        <w:ind w:left="-88" w:leftChars="-42"/>
        <w:rPr>
          <w:rFonts w:hint="eastAsia" w:ascii="宋体" w:hAnsi="宋体"/>
          <w:color w:val="auto"/>
          <w:szCs w:val="21"/>
          <w:highlight w:val="none"/>
        </w:rPr>
      </w:pPr>
    </w:p>
    <w:p w14:paraId="50E96D64">
      <w:pPr>
        <w:shd w:val="clear"/>
        <w:adjustRightInd w:val="0"/>
        <w:snapToGrid w:val="0"/>
        <w:spacing w:line="300" w:lineRule="auto"/>
        <w:ind w:left="-88" w:leftChars="-42"/>
        <w:rPr>
          <w:rFonts w:hint="eastAsia" w:ascii="宋体" w:hAnsi="宋体"/>
          <w:color w:val="auto"/>
          <w:szCs w:val="21"/>
          <w:highlight w:val="none"/>
        </w:rPr>
      </w:pPr>
    </w:p>
    <w:p w14:paraId="5B891739">
      <w:pPr>
        <w:shd w:val="clear"/>
        <w:adjustRightInd w:val="0"/>
        <w:snapToGrid w:val="0"/>
        <w:spacing w:line="300" w:lineRule="auto"/>
        <w:ind w:left="-88" w:leftChars="-42"/>
        <w:rPr>
          <w:rFonts w:hint="eastAsia" w:ascii="宋体" w:hAnsi="宋体"/>
          <w:color w:val="auto"/>
          <w:szCs w:val="21"/>
          <w:highlight w:val="none"/>
        </w:rPr>
      </w:pPr>
    </w:p>
    <w:p w14:paraId="33F66C51">
      <w:pPr>
        <w:shd w:val="clear"/>
        <w:adjustRightInd w:val="0"/>
        <w:snapToGrid w:val="0"/>
        <w:spacing w:line="300" w:lineRule="auto"/>
        <w:ind w:left="-88" w:leftChars="-42"/>
        <w:rPr>
          <w:rFonts w:hint="eastAsia" w:ascii="宋体" w:hAnsi="宋体"/>
          <w:color w:val="auto"/>
          <w:szCs w:val="21"/>
          <w:highlight w:val="none"/>
        </w:rPr>
      </w:pPr>
    </w:p>
    <w:p w14:paraId="4EAC357B">
      <w:pPr>
        <w:shd w:val="clea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宋体" w:hAnsi="宋体"/>
          <w:b/>
          <w:color w:val="auto"/>
          <w:sz w:val="32"/>
          <w:szCs w:val="32"/>
          <w:highlight w:val="none"/>
        </w:rPr>
        <w:t>磋商声明书</w:t>
      </w:r>
    </w:p>
    <w:p w14:paraId="26425FDF">
      <w:pPr>
        <w:shd w:val="clear"/>
        <w:spacing w:line="320" w:lineRule="exact"/>
        <w:jc w:val="center"/>
        <w:rPr>
          <w:rFonts w:hint="eastAsia" w:ascii="宋体" w:hAnsi="宋体"/>
          <w:color w:val="auto"/>
          <w:sz w:val="24"/>
          <w:szCs w:val="20"/>
          <w:highlight w:val="none"/>
        </w:rPr>
      </w:pPr>
    </w:p>
    <w:p w14:paraId="289AD3BC">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lang w:val="en-US" w:eastAsia="zh-CN"/>
        </w:rPr>
        <w:t>广西国力招标有限公司</w:t>
      </w:r>
    </w:p>
    <w:p w14:paraId="4F5BB86B">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9AD586C">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项目的磋商活动，为便于贵方公正、择优地确定成交供应商及其竞标产品和服务，我方就本次磋商有关事项郑重声明如下：</w:t>
      </w:r>
    </w:p>
    <w:p w14:paraId="33798A5F">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3CE5F092">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65D9402E">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3.我方此次向贵方提供的产品（服务）名称为：</w:t>
      </w:r>
      <w:r>
        <w:rPr>
          <w:rFonts w:hint="eastAsia" w:ascii="宋体" w:hAnsi="宋体"/>
          <w:color w:val="auto"/>
          <w:szCs w:val="21"/>
          <w:highlight w:val="none"/>
          <w:u w:val="single"/>
        </w:rPr>
        <w:t xml:space="preserve">                              </w:t>
      </w:r>
      <w:r>
        <w:rPr>
          <w:rFonts w:hint="eastAsia" w:ascii="宋体" w:hAnsi="宋体"/>
          <w:color w:val="auto"/>
          <w:szCs w:val="21"/>
          <w:highlight w:val="none"/>
        </w:rPr>
        <w:t>；我方承诺具备履行合同所必需的设备和专业技术能力。</w:t>
      </w:r>
    </w:p>
    <w:p w14:paraId="01BEA6CE">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4.我方诚意提请贵方关注：近期有关该型号产品（服务）的生产、供货、售后服务以及性能等方面的重大决策和事项有：</w:t>
      </w:r>
    </w:p>
    <w:p w14:paraId="17CBBCA4">
      <w:pPr>
        <w:shd w:val="clea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3FBEDF0D">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0621D75F">
      <w:pPr>
        <w:pStyle w:val="8"/>
        <w:shd w:val="clear"/>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007B6072">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《中华人民共和国政府采购法实施条例》第五十条要求对采购合同进行公告</w:t>
      </w:r>
      <w:r>
        <w:rPr>
          <w:rFonts w:hint="eastAsia" w:ascii="宋体" w:hAnsi="宋体"/>
          <w:color w:val="auto"/>
          <w:szCs w:val="21"/>
          <w:highlight w:val="none"/>
        </w:rPr>
        <w:t>，</w:t>
      </w:r>
      <w:r>
        <w:rPr>
          <w:rFonts w:ascii="宋体" w:hAnsi="宋体"/>
          <w:color w:val="auto"/>
          <w:szCs w:val="21"/>
          <w:highlight w:val="none"/>
        </w:rPr>
        <w:t>但采购合同中涉及国家秘密、商业秘密的内容除外。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444988D5">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5E24E410">
      <w:pPr>
        <w:shd w:val="clea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FD55EAD">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采购活动前三年内，在经营活动中没有重大违法记录，符合《中华人民共和国政府采购法》及《中华人民共和国政府采购实施条例》规定的供应商条件，我方对此声明负全部法律责任。</w:t>
      </w:r>
    </w:p>
    <w:p w14:paraId="038840A7">
      <w:pPr>
        <w:pStyle w:val="9"/>
        <w:shd w:val="clear"/>
        <w:tabs>
          <w:tab w:val="left" w:pos="939"/>
        </w:tabs>
        <w:snapToGrid w:val="0"/>
        <w:spacing w:line="380" w:lineRule="exact"/>
        <w:ind w:left="849" w:leftChars="150" w:hanging="534" w:hangingChars="191"/>
        <w:rPr>
          <w:rFonts w:hint="eastAsia" w:ascii="宋体" w:hAnsi="宋体"/>
          <w:color w:val="auto"/>
          <w:szCs w:val="21"/>
          <w:highlight w:val="none"/>
        </w:rPr>
      </w:pPr>
    </w:p>
    <w:p w14:paraId="23DF210B">
      <w:pPr>
        <w:pStyle w:val="25"/>
        <w:shd w:val="clear"/>
        <w:snapToGrid w:val="0"/>
        <w:spacing w:before="156" w:beforeLines="50" w:line="380" w:lineRule="exact"/>
        <w:ind w:firstLine="200"/>
        <w:rPr>
          <w:rFonts w:hint="eastAsia" w:ascii="宋体" w:hAnsi="宋体"/>
          <w:color w:val="auto"/>
          <w:sz w:val="21"/>
          <w:szCs w:val="21"/>
          <w:highlight w:val="none"/>
        </w:rPr>
      </w:pPr>
    </w:p>
    <w:p w14:paraId="521BDED5">
      <w:pPr>
        <w:shd w:val="clear"/>
        <w:snapToGrid w:val="0"/>
        <w:spacing w:before="156" w:beforeLines="50" w:line="380" w:lineRule="exact"/>
        <w:ind w:right="480" w:firstLine="5628" w:firstLineChars="2680"/>
        <w:rPr>
          <w:rFonts w:hint="eastAsia" w:ascii="宋体" w:hAnsi="宋体"/>
          <w:color w:val="auto"/>
          <w:szCs w:val="21"/>
          <w:highlight w:val="none"/>
          <w:u w:val="single"/>
        </w:rPr>
      </w:pPr>
      <w:r>
        <w:rPr>
          <w:rFonts w:hint="eastAsia" w:ascii="宋体" w:hAnsi="宋体"/>
          <w:color w:val="auto"/>
          <w:szCs w:val="21"/>
          <w:highlight w:val="none"/>
        </w:rPr>
        <w:t>法定代表人签字：</w:t>
      </w:r>
      <w:r>
        <w:rPr>
          <w:rFonts w:hint="eastAsia" w:ascii="宋体" w:hAnsi="宋体"/>
          <w:color w:val="auto"/>
          <w:szCs w:val="21"/>
          <w:highlight w:val="none"/>
          <w:u w:val="single"/>
        </w:rPr>
        <w:t xml:space="preserve">             </w:t>
      </w:r>
    </w:p>
    <w:p w14:paraId="45D2E58C">
      <w:pPr>
        <w:shd w:val="clear"/>
        <w:snapToGrid w:val="0"/>
        <w:spacing w:before="156" w:beforeLines="50" w:after="50" w:line="380" w:lineRule="exact"/>
        <w:ind w:right="480" w:firstLine="5670" w:firstLineChars="27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318F6591">
      <w:pPr>
        <w:shd w:val="clear"/>
        <w:snapToGrid w:val="0"/>
        <w:spacing w:before="156" w:beforeLines="50" w:after="50" w:line="380" w:lineRule="exact"/>
        <w:ind w:right="900" w:firstLine="210" w:firstLineChars="100"/>
        <w:jc w:val="right"/>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6D4CF022">
      <w:pPr>
        <w:shd w:val="clear"/>
        <w:adjustRightInd w:val="0"/>
        <w:snapToGrid w:val="0"/>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78C2B47D">
      <w:pPr>
        <w:shd w:val="clear"/>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商务、服务响应、偏离情况说明表</w:t>
      </w:r>
    </w:p>
    <w:p w14:paraId="17A92D2A">
      <w:pPr>
        <w:shd w:val="clear"/>
        <w:spacing w:line="300" w:lineRule="auto"/>
        <w:rPr>
          <w:rFonts w:hint="eastAsia" w:ascii="宋体" w:hAnsi="宋体"/>
          <w:color w:val="auto"/>
          <w:szCs w:val="21"/>
          <w:highlight w:val="none"/>
        </w:rPr>
      </w:pPr>
    </w:p>
    <w:p w14:paraId="2400609F">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u w:val="single"/>
        </w:rPr>
        <w:t xml:space="preserve">                 </w:t>
      </w:r>
    </w:p>
    <w:p w14:paraId="194CF8AF">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u w:val="single"/>
        </w:rPr>
        <w:t xml:space="preserve">                 </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798C1C67">
        <w:trPr>
          <w:cantSplit/>
          <w:trHeight w:val="703" w:hRule="atLeast"/>
        </w:trPr>
        <w:tc>
          <w:tcPr>
            <w:tcW w:w="651" w:type="dxa"/>
            <w:noWrap w:val="0"/>
            <w:vAlign w:val="center"/>
          </w:tcPr>
          <w:p w14:paraId="3A075132">
            <w:pPr>
              <w:shd w:val="clear"/>
              <w:jc w:val="center"/>
              <w:rPr>
                <w:rFonts w:hint="eastAsia" w:ascii="宋体" w:hAnsi="宋体" w:eastAsia="宋体" w:cs="宋体"/>
                <w:color w:val="auto"/>
                <w:sz w:val="21"/>
                <w:szCs w:val="21"/>
                <w:highlight w:val="none"/>
              </w:rPr>
            </w:pPr>
            <w:bookmarkStart w:id="53" w:name="_Toc254970588"/>
            <w:bookmarkStart w:id="54" w:name="_Toc173211900"/>
            <w:bookmarkStart w:id="55" w:name="_Toc173066401"/>
            <w:bookmarkStart w:id="56" w:name="_Toc254970729"/>
            <w:r>
              <w:rPr>
                <w:rFonts w:hint="eastAsia" w:ascii="宋体" w:hAnsi="宋体" w:eastAsia="宋体" w:cs="宋体"/>
                <w:color w:val="auto"/>
                <w:sz w:val="21"/>
                <w:szCs w:val="21"/>
                <w:highlight w:val="none"/>
              </w:rPr>
              <w:t>序号</w:t>
            </w:r>
            <w:bookmarkEnd w:id="53"/>
            <w:bookmarkEnd w:id="54"/>
            <w:bookmarkEnd w:id="55"/>
            <w:bookmarkEnd w:id="56"/>
          </w:p>
        </w:tc>
        <w:tc>
          <w:tcPr>
            <w:tcW w:w="3013" w:type="dxa"/>
            <w:noWrap w:val="0"/>
            <w:vAlign w:val="center"/>
          </w:tcPr>
          <w:p w14:paraId="34E525E5">
            <w:pPr>
              <w:shd w:val="clear"/>
              <w:jc w:val="center"/>
              <w:rPr>
                <w:rFonts w:hint="eastAsia" w:ascii="宋体" w:hAnsi="宋体" w:eastAsia="宋体" w:cs="宋体"/>
                <w:color w:val="auto"/>
                <w:sz w:val="21"/>
                <w:szCs w:val="21"/>
                <w:highlight w:val="none"/>
              </w:rPr>
            </w:pPr>
            <w:bookmarkStart w:id="57" w:name="_Toc173211901"/>
            <w:bookmarkStart w:id="58" w:name="_Toc254970589"/>
            <w:bookmarkStart w:id="59" w:name="_Toc254970730"/>
            <w:bookmarkStart w:id="60" w:name="_Toc173066402"/>
            <w:r>
              <w:rPr>
                <w:rFonts w:hint="eastAsia" w:ascii="宋体" w:hAnsi="宋体" w:eastAsia="宋体" w:cs="宋体"/>
                <w:color w:val="auto"/>
                <w:sz w:val="21"/>
                <w:szCs w:val="21"/>
                <w:highlight w:val="none"/>
              </w:rPr>
              <w:t>竞争性磋商文件要求</w:t>
            </w:r>
            <w:bookmarkEnd w:id="57"/>
            <w:bookmarkEnd w:id="58"/>
            <w:bookmarkEnd w:id="59"/>
            <w:bookmarkEnd w:id="60"/>
          </w:p>
        </w:tc>
        <w:tc>
          <w:tcPr>
            <w:tcW w:w="3159" w:type="dxa"/>
            <w:noWrap w:val="0"/>
            <w:vAlign w:val="center"/>
          </w:tcPr>
          <w:p w14:paraId="1D98BC9B">
            <w:pPr>
              <w:shd w:val="clear"/>
              <w:jc w:val="center"/>
              <w:rPr>
                <w:rFonts w:hint="eastAsia" w:ascii="宋体" w:hAnsi="宋体" w:eastAsia="宋体" w:cs="宋体"/>
                <w:color w:val="auto"/>
                <w:sz w:val="21"/>
                <w:szCs w:val="21"/>
                <w:highlight w:val="none"/>
              </w:rPr>
            </w:pPr>
            <w:bookmarkStart w:id="61" w:name="_Toc254970590"/>
            <w:bookmarkStart w:id="62" w:name="_Toc173211902"/>
            <w:bookmarkStart w:id="63" w:name="_Toc173066403"/>
            <w:bookmarkStart w:id="64" w:name="_Toc254970731"/>
            <w:r>
              <w:rPr>
                <w:rFonts w:hint="eastAsia" w:ascii="宋体" w:hAnsi="宋体" w:eastAsia="宋体" w:cs="宋体"/>
                <w:color w:val="auto"/>
                <w:sz w:val="21"/>
                <w:szCs w:val="21"/>
                <w:highlight w:val="none"/>
              </w:rPr>
              <w:t>竞争性磋商响应文件具体响应</w:t>
            </w:r>
            <w:bookmarkEnd w:id="61"/>
            <w:bookmarkEnd w:id="62"/>
            <w:bookmarkEnd w:id="63"/>
            <w:bookmarkEnd w:id="64"/>
          </w:p>
        </w:tc>
        <w:tc>
          <w:tcPr>
            <w:tcW w:w="1571" w:type="dxa"/>
            <w:noWrap w:val="0"/>
            <w:vAlign w:val="center"/>
          </w:tcPr>
          <w:p w14:paraId="5FCCA7FA">
            <w:pPr>
              <w:shd w:val="clear"/>
              <w:jc w:val="center"/>
              <w:rPr>
                <w:rFonts w:hint="eastAsia" w:ascii="宋体" w:hAnsi="宋体" w:eastAsia="宋体" w:cs="宋体"/>
                <w:color w:val="auto"/>
                <w:sz w:val="21"/>
                <w:szCs w:val="21"/>
                <w:highlight w:val="none"/>
              </w:rPr>
            </w:pPr>
            <w:bookmarkStart w:id="65" w:name="_Toc173066404"/>
            <w:bookmarkStart w:id="66" w:name="_Toc254970732"/>
            <w:bookmarkStart w:id="67" w:name="_Toc173211903"/>
            <w:bookmarkStart w:id="68" w:name="_Toc254970591"/>
            <w:r>
              <w:rPr>
                <w:rFonts w:hint="eastAsia" w:ascii="宋体" w:hAnsi="宋体" w:eastAsia="宋体" w:cs="宋体"/>
                <w:color w:val="auto"/>
                <w:sz w:val="21"/>
                <w:szCs w:val="21"/>
                <w:highlight w:val="none"/>
              </w:rPr>
              <w:t>响应/偏离</w:t>
            </w:r>
            <w:bookmarkEnd w:id="65"/>
            <w:bookmarkEnd w:id="66"/>
            <w:bookmarkEnd w:id="67"/>
            <w:bookmarkEnd w:id="68"/>
          </w:p>
        </w:tc>
        <w:tc>
          <w:tcPr>
            <w:tcW w:w="1460" w:type="dxa"/>
            <w:noWrap w:val="0"/>
            <w:vAlign w:val="center"/>
          </w:tcPr>
          <w:p w14:paraId="17B4E30B">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0622423">
        <w:trPr>
          <w:cantSplit/>
          <w:trHeight w:val="420" w:hRule="atLeast"/>
        </w:trPr>
        <w:tc>
          <w:tcPr>
            <w:tcW w:w="9854" w:type="dxa"/>
            <w:gridSpan w:val="5"/>
            <w:noWrap w:val="0"/>
            <w:vAlign w:val="center"/>
          </w:tcPr>
          <w:p w14:paraId="4C95C641">
            <w:pPr>
              <w:shd w:val="clear"/>
              <w:jc w:val="center"/>
              <w:rPr>
                <w:rFonts w:hint="eastAsia" w:ascii="宋体" w:hAnsi="宋体" w:eastAsia="宋体" w:cs="宋体"/>
                <w:color w:val="auto"/>
                <w:sz w:val="21"/>
                <w:szCs w:val="21"/>
                <w:highlight w:val="none"/>
              </w:rPr>
            </w:pPr>
            <w:bookmarkStart w:id="69" w:name="_Toc476258666"/>
            <w:r>
              <w:rPr>
                <w:rFonts w:hint="eastAsia" w:ascii="宋体" w:hAnsi="宋体" w:eastAsia="宋体" w:cs="宋体"/>
                <w:color w:val="auto"/>
                <w:sz w:val="21"/>
                <w:szCs w:val="21"/>
                <w:highlight w:val="none"/>
              </w:rPr>
              <w:t>商务部分</w:t>
            </w:r>
            <w:bookmarkEnd w:id="69"/>
            <w:r>
              <w:rPr>
                <w:rFonts w:hint="eastAsia" w:ascii="宋体" w:hAnsi="宋体" w:eastAsia="宋体" w:cs="宋体"/>
                <w:color w:val="auto"/>
                <w:sz w:val="21"/>
                <w:szCs w:val="21"/>
                <w:highlight w:val="none"/>
              </w:rPr>
              <w:t>（商务要求表）</w:t>
            </w:r>
          </w:p>
        </w:tc>
      </w:tr>
      <w:tr w14:paraId="59E71F3D">
        <w:trPr>
          <w:cantSplit/>
          <w:trHeight w:val="200" w:hRule="atLeast"/>
        </w:trPr>
        <w:tc>
          <w:tcPr>
            <w:tcW w:w="651" w:type="dxa"/>
            <w:noWrap w:val="0"/>
            <w:vAlign w:val="center"/>
          </w:tcPr>
          <w:p w14:paraId="37AAB22D">
            <w:pPr>
              <w:shd w:val="clear"/>
              <w:jc w:val="center"/>
              <w:rPr>
                <w:rFonts w:hint="eastAsia" w:ascii="宋体" w:hAnsi="宋体" w:eastAsia="宋体" w:cs="宋体"/>
                <w:color w:val="auto"/>
                <w:sz w:val="21"/>
                <w:szCs w:val="21"/>
                <w:highlight w:val="none"/>
              </w:rPr>
            </w:pPr>
            <w:bookmarkStart w:id="70" w:name="_Toc254970734"/>
            <w:bookmarkStart w:id="71" w:name="_Toc254970593"/>
            <w:bookmarkStart w:id="72" w:name="_Toc173066406"/>
            <w:bookmarkStart w:id="73" w:name="_Toc173211905"/>
            <w:r>
              <w:rPr>
                <w:rFonts w:hint="eastAsia" w:ascii="宋体" w:hAnsi="宋体" w:eastAsia="宋体" w:cs="宋体"/>
                <w:color w:val="auto"/>
                <w:sz w:val="21"/>
                <w:szCs w:val="21"/>
                <w:highlight w:val="none"/>
              </w:rPr>
              <w:t>1</w:t>
            </w:r>
            <w:bookmarkEnd w:id="70"/>
            <w:bookmarkEnd w:id="71"/>
            <w:bookmarkEnd w:id="72"/>
            <w:bookmarkEnd w:id="73"/>
          </w:p>
        </w:tc>
        <w:tc>
          <w:tcPr>
            <w:tcW w:w="3013" w:type="dxa"/>
            <w:noWrap w:val="0"/>
            <w:vAlign w:val="center"/>
          </w:tcPr>
          <w:p w14:paraId="238C310D">
            <w:pPr>
              <w:shd w:val="clear"/>
              <w:tabs>
                <w:tab w:val="left" w:pos="180"/>
                <w:tab w:val="left" w:pos="1620"/>
              </w:tabs>
              <w:spacing w:line="400" w:lineRule="exact"/>
              <w:jc w:val="center"/>
              <w:rPr>
                <w:rFonts w:hint="eastAsia" w:ascii="宋体" w:hAnsi="宋体" w:eastAsia="宋体" w:cs="宋体"/>
                <w:color w:val="auto"/>
                <w:sz w:val="21"/>
                <w:szCs w:val="21"/>
                <w:highlight w:val="none"/>
              </w:rPr>
            </w:pPr>
          </w:p>
        </w:tc>
        <w:tc>
          <w:tcPr>
            <w:tcW w:w="3159" w:type="dxa"/>
            <w:noWrap w:val="0"/>
            <w:vAlign w:val="top"/>
          </w:tcPr>
          <w:p w14:paraId="751884A8">
            <w:pPr>
              <w:shd w:val="clear"/>
              <w:rPr>
                <w:rFonts w:hint="eastAsia" w:ascii="宋体" w:hAnsi="宋体" w:eastAsia="宋体" w:cs="宋体"/>
                <w:color w:val="auto"/>
                <w:sz w:val="21"/>
                <w:szCs w:val="21"/>
                <w:highlight w:val="none"/>
              </w:rPr>
            </w:pPr>
          </w:p>
        </w:tc>
        <w:tc>
          <w:tcPr>
            <w:tcW w:w="1571" w:type="dxa"/>
            <w:noWrap w:val="0"/>
            <w:vAlign w:val="center"/>
          </w:tcPr>
          <w:p w14:paraId="063B9DBE">
            <w:pPr>
              <w:shd w:val="clear"/>
              <w:jc w:val="center"/>
              <w:rPr>
                <w:rFonts w:hint="eastAsia" w:ascii="宋体" w:hAnsi="宋体" w:eastAsia="宋体" w:cs="宋体"/>
                <w:color w:val="auto"/>
                <w:sz w:val="21"/>
                <w:szCs w:val="21"/>
                <w:highlight w:val="none"/>
              </w:rPr>
            </w:pPr>
          </w:p>
        </w:tc>
        <w:tc>
          <w:tcPr>
            <w:tcW w:w="1460" w:type="dxa"/>
            <w:noWrap w:val="0"/>
            <w:vAlign w:val="center"/>
          </w:tcPr>
          <w:p w14:paraId="6F3FE11D">
            <w:pPr>
              <w:shd w:val="clear"/>
              <w:jc w:val="center"/>
              <w:rPr>
                <w:rFonts w:hint="eastAsia" w:ascii="宋体" w:hAnsi="宋体" w:eastAsia="宋体" w:cs="宋体"/>
                <w:color w:val="auto"/>
                <w:sz w:val="21"/>
                <w:szCs w:val="21"/>
                <w:highlight w:val="none"/>
              </w:rPr>
            </w:pPr>
          </w:p>
        </w:tc>
      </w:tr>
      <w:tr w14:paraId="20DBCE5A">
        <w:trPr>
          <w:cantSplit/>
          <w:trHeight w:val="420" w:hRule="atLeast"/>
        </w:trPr>
        <w:tc>
          <w:tcPr>
            <w:tcW w:w="651" w:type="dxa"/>
            <w:noWrap w:val="0"/>
            <w:vAlign w:val="center"/>
          </w:tcPr>
          <w:p w14:paraId="73128799">
            <w:pPr>
              <w:shd w:val="clear"/>
              <w:jc w:val="center"/>
              <w:rPr>
                <w:rFonts w:hint="eastAsia" w:ascii="宋体" w:hAnsi="宋体" w:eastAsia="宋体" w:cs="宋体"/>
                <w:color w:val="auto"/>
                <w:sz w:val="21"/>
                <w:szCs w:val="21"/>
                <w:highlight w:val="none"/>
              </w:rPr>
            </w:pPr>
            <w:bookmarkStart w:id="74" w:name="_Toc254970735"/>
            <w:bookmarkStart w:id="75" w:name="_Toc173211906"/>
            <w:bookmarkStart w:id="76" w:name="_Toc173066407"/>
            <w:bookmarkStart w:id="77" w:name="_Toc254970594"/>
            <w:r>
              <w:rPr>
                <w:rFonts w:hint="eastAsia" w:ascii="宋体" w:hAnsi="宋体" w:eastAsia="宋体" w:cs="宋体"/>
                <w:color w:val="auto"/>
                <w:sz w:val="21"/>
                <w:szCs w:val="21"/>
                <w:highlight w:val="none"/>
              </w:rPr>
              <w:t>2</w:t>
            </w:r>
            <w:bookmarkEnd w:id="74"/>
            <w:bookmarkEnd w:id="75"/>
            <w:bookmarkEnd w:id="76"/>
            <w:bookmarkEnd w:id="77"/>
          </w:p>
        </w:tc>
        <w:tc>
          <w:tcPr>
            <w:tcW w:w="3013" w:type="dxa"/>
            <w:noWrap w:val="0"/>
            <w:vAlign w:val="center"/>
          </w:tcPr>
          <w:p w14:paraId="0C3476DF">
            <w:pPr>
              <w:shd w:val="clear"/>
              <w:spacing w:line="360" w:lineRule="auto"/>
              <w:jc w:val="center"/>
              <w:rPr>
                <w:rFonts w:hint="eastAsia" w:ascii="宋体" w:hAnsi="宋体" w:eastAsia="宋体" w:cs="宋体"/>
                <w:b/>
                <w:color w:val="auto"/>
                <w:kern w:val="2"/>
                <w:sz w:val="21"/>
                <w:szCs w:val="21"/>
                <w:highlight w:val="none"/>
                <w:lang w:val="en-US" w:eastAsia="zh-CN" w:bidi="ar-SA"/>
              </w:rPr>
            </w:pPr>
          </w:p>
        </w:tc>
        <w:tc>
          <w:tcPr>
            <w:tcW w:w="3159" w:type="dxa"/>
            <w:noWrap w:val="0"/>
            <w:vAlign w:val="top"/>
          </w:tcPr>
          <w:p w14:paraId="48C762A2">
            <w:pPr>
              <w:shd w:val="clear"/>
              <w:rPr>
                <w:rFonts w:hint="eastAsia" w:ascii="宋体" w:hAnsi="宋体" w:eastAsia="宋体" w:cs="宋体"/>
                <w:color w:val="auto"/>
                <w:sz w:val="21"/>
                <w:szCs w:val="21"/>
                <w:highlight w:val="none"/>
              </w:rPr>
            </w:pPr>
          </w:p>
        </w:tc>
        <w:tc>
          <w:tcPr>
            <w:tcW w:w="1571" w:type="dxa"/>
            <w:noWrap w:val="0"/>
            <w:vAlign w:val="center"/>
          </w:tcPr>
          <w:p w14:paraId="7A9DCB5F">
            <w:pPr>
              <w:shd w:val="clear"/>
              <w:jc w:val="center"/>
              <w:rPr>
                <w:rFonts w:hint="eastAsia" w:ascii="宋体" w:hAnsi="宋体" w:eastAsia="宋体" w:cs="宋体"/>
                <w:color w:val="auto"/>
                <w:sz w:val="21"/>
                <w:szCs w:val="21"/>
                <w:highlight w:val="none"/>
              </w:rPr>
            </w:pPr>
          </w:p>
        </w:tc>
        <w:tc>
          <w:tcPr>
            <w:tcW w:w="1460" w:type="dxa"/>
            <w:noWrap w:val="0"/>
            <w:vAlign w:val="center"/>
          </w:tcPr>
          <w:p w14:paraId="7C151DF4">
            <w:pPr>
              <w:shd w:val="clear"/>
              <w:jc w:val="center"/>
              <w:rPr>
                <w:rFonts w:hint="eastAsia" w:ascii="宋体" w:hAnsi="宋体" w:eastAsia="宋体" w:cs="宋体"/>
                <w:color w:val="auto"/>
                <w:sz w:val="21"/>
                <w:szCs w:val="21"/>
                <w:highlight w:val="none"/>
              </w:rPr>
            </w:pPr>
          </w:p>
        </w:tc>
      </w:tr>
      <w:tr w14:paraId="116E81C7">
        <w:trPr>
          <w:cantSplit/>
          <w:trHeight w:val="420" w:hRule="atLeast"/>
        </w:trPr>
        <w:tc>
          <w:tcPr>
            <w:tcW w:w="651" w:type="dxa"/>
            <w:noWrap w:val="0"/>
            <w:vAlign w:val="center"/>
          </w:tcPr>
          <w:p w14:paraId="58DD807B">
            <w:pPr>
              <w:shd w:val="clear"/>
              <w:jc w:val="center"/>
              <w:rPr>
                <w:rFonts w:hint="eastAsia" w:ascii="宋体" w:hAnsi="宋体" w:eastAsia="宋体" w:cs="宋体"/>
                <w:color w:val="auto"/>
                <w:kern w:val="2"/>
                <w:sz w:val="21"/>
                <w:szCs w:val="21"/>
                <w:highlight w:val="none"/>
                <w:lang w:val="en-US" w:eastAsia="zh-CN" w:bidi="ar-SA"/>
              </w:rPr>
            </w:pPr>
            <w:bookmarkStart w:id="78" w:name="_Toc173211907"/>
            <w:bookmarkStart w:id="79" w:name="_Toc173066408"/>
            <w:bookmarkStart w:id="80" w:name="_Toc254970736"/>
            <w:bookmarkStart w:id="81" w:name="_Toc254970595"/>
            <w:r>
              <w:rPr>
                <w:rFonts w:hint="eastAsia" w:ascii="宋体" w:hAnsi="宋体" w:eastAsia="宋体" w:cs="宋体"/>
                <w:color w:val="auto"/>
                <w:sz w:val="21"/>
                <w:szCs w:val="21"/>
                <w:highlight w:val="none"/>
                <w:lang w:val="en-US" w:eastAsia="zh-CN"/>
              </w:rPr>
              <w:t>3</w:t>
            </w:r>
          </w:p>
        </w:tc>
        <w:tc>
          <w:tcPr>
            <w:tcW w:w="3013" w:type="dxa"/>
            <w:noWrap w:val="0"/>
            <w:vAlign w:val="center"/>
          </w:tcPr>
          <w:p w14:paraId="1C15A1E5">
            <w:pPr>
              <w:shd w:val="clear"/>
              <w:spacing w:line="360" w:lineRule="auto"/>
              <w:jc w:val="center"/>
              <w:rPr>
                <w:rFonts w:hint="eastAsia" w:ascii="宋体" w:hAnsi="宋体" w:eastAsia="宋体" w:cs="宋体"/>
                <w:color w:val="auto"/>
                <w:sz w:val="21"/>
                <w:szCs w:val="21"/>
                <w:highlight w:val="none"/>
                <w:lang w:val="en-US" w:eastAsia="zh-CN"/>
              </w:rPr>
            </w:pPr>
          </w:p>
        </w:tc>
        <w:tc>
          <w:tcPr>
            <w:tcW w:w="3159" w:type="dxa"/>
            <w:noWrap w:val="0"/>
            <w:vAlign w:val="top"/>
          </w:tcPr>
          <w:p w14:paraId="790E8151">
            <w:pPr>
              <w:shd w:val="clear"/>
              <w:rPr>
                <w:rFonts w:hint="eastAsia" w:ascii="宋体" w:hAnsi="宋体" w:eastAsia="宋体" w:cs="宋体"/>
                <w:color w:val="auto"/>
                <w:sz w:val="21"/>
                <w:szCs w:val="21"/>
                <w:highlight w:val="none"/>
              </w:rPr>
            </w:pPr>
          </w:p>
        </w:tc>
        <w:tc>
          <w:tcPr>
            <w:tcW w:w="1571" w:type="dxa"/>
            <w:noWrap w:val="0"/>
            <w:vAlign w:val="center"/>
          </w:tcPr>
          <w:p w14:paraId="7CC37376">
            <w:pPr>
              <w:shd w:val="clear"/>
              <w:jc w:val="center"/>
              <w:rPr>
                <w:rFonts w:hint="eastAsia" w:ascii="宋体" w:hAnsi="宋体" w:eastAsia="宋体" w:cs="宋体"/>
                <w:color w:val="auto"/>
                <w:sz w:val="21"/>
                <w:szCs w:val="21"/>
                <w:highlight w:val="none"/>
              </w:rPr>
            </w:pPr>
          </w:p>
        </w:tc>
        <w:tc>
          <w:tcPr>
            <w:tcW w:w="1460" w:type="dxa"/>
            <w:noWrap w:val="0"/>
            <w:vAlign w:val="center"/>
          </w:tcPr>
          <w:p w14:paraId="4F9964F4">
            <w:pPr>
              <w:shd w:val="clear"/>
              <w:jc w:val="center"/>
              <w:rPr>
                <w:rFonts w:hint="eastAsia" w:ascii="宋体" w:hAnsi="宋体" w:eastAsia="宋体" w:cs="宋体"/>
                <w:color w:val="auto"/>
                <w:sz w:val="21"/>
                <w:szCs w:val="21"/>
                <w:highlight w:val="none"/>
              </w:rPr>
            </w:pPr>
          </w:p>
        </w:tc>
      </w:tr>
      <w:tr w14:paraId="45057A76">
        <w:trPr>
          <w:cantSplit/>
          <w:trHeight w:val="420" w:hRule="atLeast"/>
        </w:trPr>
        <w:tc>
          <w:tcPr>
            <w:tcW w:w="651" w:type="dxa"/>
            <w:noWrap w:val="0"/>
            <w:vAlign w:val="center"/>
          </w:tcPr>
          <w:p w14:paraId="3C3700F1">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3013" w:type="dxa"/>
            <w:noWrap w:val="0"/>
            <w:vAlign w:val="center"/>
          </w:tcPr>
          <w:p w14:paraId="197DE37F">
            <w:pPr>
              <w:shd w:val="clea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top"/>
          </w:tcPr>
          <w:p w14:paraId="446B33A3">
            <w:pPr>
              <w:shd w:val="clear"/>
              <w:rPr>
                <w:rFonts w:hint="eastAsia" w:ascii="宋体" w:hAnsi="宋体" w:eastAsia="宋体" w:cs="宋体"/>
                <w:color w:val="auto"/>
                <w:sz w:val="21"/>
                <w:szCs w:val="21"/>
                <w:highlight w:val="none"/>
              </w:rPr>
            </w:pPr>
          </w:p>
        </w:tc>
        <w:tc>
          <w:tcPr>
            <w:tcW w:w="1571" w:type="dxa"/>
            <w:noWrap w:val="0"/>
            <w:vAlign w:val="center"/>
          </w:tcPr>
          <w:p w14:paraId="47A1861A">
            <w:pPr>
              <w:shd w:val="clear"/>
              <w:jc w:val="center"/>
              <w:rPr>
                <w:rFonts w:hint="eastAsia" w:ascii="宋体" w:hAnsi="宋体" w:eastAsia="宋体" w:cs="宋体"/>
                <w:color w:val="auto"/>
                <w:sz w:val="21"/>
                <w:szCs w:val="21"/>
                <w:highlight w:val="none"/>
              </w:rPr>
            </w:pPr>
          </w:p>
        </w:tc>
        <w:tc>
          <w:tcPr>
            <w:tcW w:w="1460" w:type="dxa"/>
            <w:noWrap w:val="0"/>
            <w:vAlign w:val="center"/>
          </w:tcPr>
          <w:p w14:paraId="77719385">
            <w:pPr>
              <w:shd w:val="clear"/>
              <w:jc w:val="center"/>
              <w:rPr>
                <w:rFonts w:hint="eastAsia" w:ascii="宋体" w:hAnsi="宋体" w:eastAsia="宋体" w:cs="宋体"/>
                <w:color w:val="auto"/>
                <w:sz w:val="21"/>
                <w:szCs w:val="21"/>
                <w:highlight w:val="none"/>
              </w:rPr>
            </w:pPr>
          </w:p>
        </w:tc>
      </w:tr>
      <w:tr w14:paraId="3EA91CAA">
        <w:trPr>
          <w:cantSplit/>
          <w:trHeight w:val="420" w:hRule="atLeast"/>
        </w:trPr>
        <w:tc>
          <w:tcPr>
            <w:tcW w:w="651" w:type="dxa"/>
            <w:noWrap w:val="0"/>
            <w:vAlign w:val="center"/>
          </w:tcPr>
          <w:p w14:paraId="060DBDBB">
            <w:pPr>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3013" w:type="dxa"/>
            <w:noWrap w:val="0"/>
            <w:vAlign w:val="center"/>
          </w:tcPr>
          <w:p w14:paraId="1B86B2AC">
            <w:pPr>
              <w:shd w:val="clear"/>
              <w:spacing w:line="360" w:lineRule="auto"/>
              <w:jc w:val="center"/>
              <w:rPr>
                <w:rFonts w:hint="eastAsia" w:ascii="宋体" w:hAnsi="宋体" w:eastAsia="宋体" w:cs="宋体"/>
                <w:b/>
                <w:color w:val="auto"/>
                <w:kern w:val="2"/>
                <w:sz w:val="21"/>
                <w:szCs w:val="21"/>
                <w:highlight w:val="none"/>
                <w:lang w:val="en-US" w:eastAsia="zh-CN" w:bidi="ar-SA"/>
              </w:rPr>
            </w:pPr>
          </w:p>
        </w:tc>
        <w:tc>
          <w:tcPr>
            <w:tcW w:w="3159" w:type="dxa"/>
            <w:noWrap w:val="0"/>
            <w:vAlign w:val="top"/>
          </w:tcPr>
          <w:p w14:paraId="52BDAF8B">
            <w:pPr>
              <w:shd w:val="clear"/>
              <w:rPr>
                <w:rFonts w:hint="eastAsia" w:ascii="宋体" w:hAnsi="宋体" w:eastAsia="宋体" w:cs="宋体"/>
                <w:color w:val="auto"/>
                <w:sz w:val="21"/>
                <w:szCs w:val="21"/>
                <w:highlight w:val="none"/>
              </w:rPr>
            </w:pPr>
          </w:p>
        </w:tc>
        <w:tc>
          <w:tcPr>
            <w:tcW w:w="1571" w:type="dxa"/>
            <w:noWrap w:val="0"/>
            <w:vAlign w:val="center"/>
          </w:tcPr>
          <w:p w14:paraId="427B6E41">
            <w:pPr>
              <w:shd w:val="clear"/>
              <w:jc w:val="center"/>
              <w:rPr>
                <w:rFonts w:hint="eastAsia" w:ascii="宋体" w:hAnsi="宋体" w:eastAsia="宋体" w:cs="宋体"/>
                <w:color w:val="auto"/>
                <w:sz w:val="21"/>
                <w:szCs w:val="21"/>
                <w:highlight w:val="none"/>
              </w:rPr>
            </w:pPr>
          </w:p>
        </w:tc>
        <w:tc>
          <w:tcPr>
            <w:tcW w:w="1460" w:type="dxa"/>
            <w:noWrap w:val="0"/>
            <w:vAlign w:val="center"/>
          </w:tcPr>
          <w:p w14:paraId="08C23983">
            <w:pPr>
              <w:shd w:val="clear"/>
              <w:jc w:val="center"/>
              <w:rPr>
                <w:rFonts w:hint="eastAsia" w:ascii="宋体" w:hAnsi="宋体" w:eastAsia="宋体" w:cs="宋体"/>
                <w:color w:val="auto"/>
                <w:sz w:val="21"/>
                <w:szCs w:val="21"/>
                <w:highlight w:val="none"/>
              </w:rPr>
            </w:pPr>
          </w:p>
        </w:tc>
      </w:tr>
      <w:bookmarkEnd w:id="78"/>
      <w:bookmarkEnd w:id="79"/>
      <w:bookmarkEnd w:id="80"/>
      <w:bookmarkEnd w:id="81"/>
      <w:tr w14:paraId="7FF35EA3">
        <w:trPr>
          <w:cantSplit/>
          <w:trHeight w:val="420" w:hRule="atLeast"/>
        </w:trPr>
        <w:tc>
          <w:tcPr>
            <w:tcW w:w="651" w:type="dxa"/>
            <w:noWrap w:val="0"/>
            <w:vAlign w:val="center"/>
          </w:tcPr>
          <w:p w14:paraId="2BBF4757">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013" w:type="dxa"/>
            <w:noWrap w:val="0"/>
            <w:vAlign w:val="center"/>
          </w:tcPr>
          <w:p w14:paraId="4DBFD50D">
            <w:pPr>
              <w:shd w:val="clear"/>
              <w:jc w:val="center"/>
              <w:rPr>
                <w:rFonts w:hint="eastAsia" w:ascii="宋体" w:hAnsi="宋体" w:eastAsia="宋体" w:cs="宋体"/>
                <w:color w:val="auto"/>
                <w:sz w:val="21"/>
                <w:szCs w:val="21"/>
                <w:highlight w:val="none"/>
                <w:lang w:eastAsia="zh-CN"/>
              </w:rPr>
            </w:pPr>
          </w:p>
        </w:tc>
        <w:tc>
          <w:tcPr>
            <w:tcW w:w="3159" w:type="dxa"/>
            <w:noWrap w:val="0"/>
            <w:vAlign w:val="top"/>
          </w:tcPr>
          <w:p w14:paraId="693E739E">
            <w:pPr>
              <w:shd w:val="clear"/>
              <w:rPr>
                <w:rFonts w:hint="eastAsia" w:ascii="宋体" w:hAnsi="宋体" w:eastAsia="宋体" w:cs="宋体"/>
                <w:color w:val="auto"/>
                <w:sz w:val="21"/>
                <w:szCs w:val="21"/>
                <w:highlight w:val="none"/>
              </w:rPr>
            </w:pPr>
          </w:p>
        </w:tc>
        <w:tc>
          <w:tcPr>
            <w:tcW w:w="1571" w:type="dxa"/>
            <w:noWrap w:val="0"/>
            <w:vAlign w:val="center"/>
          </w:tcPr>
          <w:p w14:paraId="0CDA5B40">
            <w:pPr>
              <w:shd w:val="clear"/>
              <w:jc w:val="center"/>
              <w:rPr>
                <w:rFonts w:hint="eastAsia" w:ascii="宋体" w:hAnsi="宋体" w:eastAsia="宋体" w:cs="宋体"/>
                <w:color w:val="auto"/>
                <w:sz w:val="21"/>
                <w:szCs w:val="21"/>
                <w:highlight w:val="none"/>
              </w:rPr>
            </w:pPr>
          </w:p>
        </w:tc>
        <w:tc>
          <w:tcPr>
            <w:tcW w:w="1460" w:type="dxa"/>
            <w:noWrap w:val="0"/>
            <w:vAlign w:val="center"/>
          </w:tcPr>
          <w:p w14:paraId="0EA6D297">
            <w:pPr>
              <w:shd w:val="clear"/>
              <w:jc w:val="center"/>
              <w:rPr>
                <w:rFonts w:hint="eastAsia" w:ascii="宋体" w:hAnsi="宋体" w:eastAsia="宋体" w:cs="宋体"/>
                <w:color w:val="auto"/>
                <w:sz w:val="21"/>
                <w:szCs w:val="21"/>
                <w:highlight w:val="none"/>
              </w:rPr>
            </w:pPr>
          </w:p>
        </w:tc>
      </w:tr>
      <w:tr w14:paraId="0C22AF2D">
        <w:trPr>
          <w:cantSplit/>
          <w:trHeight w:val="420" w:hRule="atLeast"/>
        </w:trPr>
        <w:tc>
          <w:tcPr>
            <w:tcW w:w="9854" w:type="dxa"/>
            <w:gridSpan w:val="5"/>
            <w:noWrap w:val="0"/>
            <w:vAlign w:val="center"/>
          </w:tcPr>
          <w:p w14:paraId="33AD8D61">
            <w:pPr>
              <w:shd w:val="clear"/>
              <w:jc w:val="center"/>
              <w:rPr>
                <w:rFonts w:hint="eastAsia" w:ascii="宋体" w:hAnsi="宋体" w:eastAsia="宋体" w:cs="宋体"/>
                <w:color w:val="auto"/>
                <w:sz w:val="21"/>
                <w:szCs w:val="21"/>
                <w:highlight w:val="none"/>
              </w:rPr>
            </w:pPr>
            <w:bookmarkStart w:id="82" w:name="_Toc476258667"/>
            <w:r>
              <w:rPr>
                <w:rFonts w:hint="eastAsia" w:ascii="宋体" w:hAnsi="宋体" w:eastAsia="宋体" w:cs="宋体"/>
                <w:color w:val="auto"/>
                <w:sz w:val="21"/>
                <w:szCs w:val="21"/>
                <w:highlight w:val="none"/>
              </w:rPr>
              <w:t>服务部分</w:t>
            </w:r>
            <w:bookmarkEnd w:id="82"/>
            <w:r>
              <w:rPr>
                <w:rFonts w:hint="eastAsia" w:ascii="宋体" w:hAnsi="宋体" w:eastAsia="宋体" w:cs="宋体"/>
                <w:color w:val="auto"/>
                <w:sz w:val="21"/>
                <w:szCs w:val="21"/>
                <w:highlight w:val="none"/>
              </w:rPr>
              <w:t>（内容和要求）</w:t>
            </w:r>
          </w:p>
        </w:tc>
      </w:tr>
      <w:tr w14:paraId="05F970D5">
        <w:trPr>
          <w:cantSplit/>
          <w:trHeight w:val="420" w:hRule="atLeast"/>
        </w:trPr>
        <w:tc>
          <w:tcPr>
            <w:tcW w:w="651" w:type="dxa"/>
            <w:noWrap w:val="0"/>
            <w:vAlign w:val="center"/>
          </w:tcPr>
          <w:p w14:paraId="0A526516">
            <w:pPr>
              <w:shd w:val="clear"/>
              <w:jc w:val="center"/>
              <w:rPr>
                <w:rFonts w:hint="eastAsia" w:ascii="宋体" w:hAnsi="宋体" w:eastAsia="宋体" w:cs="宋体"/>
                <w:color w:val="auto"/>
                <w:sz w:val="21"/>
                <w:szCs w:val="21"/>
                <w:highlight w:val="none"/>
              </w:rPr>
            </w:pPr>
            <w:bookmarkStart w:id="83" w:name="_Toc476258668"/>
            <w:r>
              <w:rPr>
                <w:rFonts w:hint="eastAsia" w:ascii="宋体" w:hAnsi="宋体" w:eastAsia="宋体" w:cs="宋体"/>
                <w:color w:val="auto"/>
                <w:sz w:val="21"/>
                <w:szCs w:val="21"/>
                <w:highlight w:val="none"/>
              </w:rPr>
              <w:t>1</w:t>
            </w:r>
            <w:bookmarkEnd w:id="83"/>
          </w:p>
        </w:tc>
        <w:tc>
          <w:tcPr>
            <w:tcW w:w="3013" w:type="dxa"/>
            <w:noWrap w:val="0"/>
            <w:vAlign w:val="center"/>
          </w:tcPr>
          <w:p w14:paraId="122A3255">
            <w:pPr>
              <w:shd w:val="clea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07F86C0A">
            <w:pPr>
              <w:shd w:val="clear"/>
              <w:rPr>
                <w:rFonts w:hint="eastAsia" w:ascii="宋体" w:hAnsi="宋体" w:eastAsia="宋体" w:cs="宋体"/>
                <w:color w:val="auto"/>
                <w:sz w:val="21"/>
                <w:szCs w:val="21"/>
                <w:highlight w:val="none"/>
              </w:rPr>
            </w:pPr>
          </w:p>
        </w:tc>
        <w:tc>
          <w:tcPr>
            <w:tcW w:w="1571" w:type="dxa"/>
            <w:noWrap w:val="0"/>
            <w:vAlign w:val="center"/>
          </w:tcPr>
          <w:p w14:paraId="284A763C">
            <w:pPr>
              <w:shd w:val="clear"/>
              <w:rPr>
                <w:rFonts w:hint="eastAsia" w:ascii="宋体" w:hAnsi="宋体" w:eastAsia="宋体" w:cs="宋体"/>
                <w:color w:val="auto"/>
                <w:sz w:val="21"/>
                <w:szCs w:val="21"/>
                <w:highlight w:val="none"/>
              </w:rPr>
            </w:pPr>
          </w:p>
        </w:tc>
        <w:tc>
          <w:tcPr>
            <w:tcW w:w="1460" w:type="dxa"/>
            <w:noWrap w:val="0"/>
            <w:vAlign w:val="center"/>
          </w:tcPr>
          <w:p w14:paraId="344EA88D">
            <w:pPr>
              <w:shd w:val="clear"/>
              <w:rPr>
                <w:rFonts w:hint="eastAsia" w:ascii="宋体" w:hAnsi="宋体" w:eastAsia="宋体" w:cs="宋体"/>
                <w:color w:val="auto"/>
                <w:sz w:val="21"/>
                <w:szCs w:val="21"/>
                <w:highlight w:val="none"/>
              </w:rPr>
            </w:pPr>
          </w:p>
        </w:tc>
      </w:tr>
      <w:tr w14:paraId="7F7369F2">
        <w:trPr>
          <w:cantSplit/>
          <w:trHeight w:val="420" w:hRule="atLeast"/>
        </w:trPr>
        <w:tc>
          <w:tcPr>
            <w:tcW w:w="651" w:type="dxa"/>
            <w:noWrap w:val="0"/>
            <w:vAlign w:val="center"/>
          </w:tcPr>
          <w:p w14:paraId="4B185F84">
            <w:pPr>
              <w:shd w:val="clear"/>
              <w:jc w:val="center"/>
              <w:rPr>
                <w:rFonts w:hint="eastAsia" w:ascii="宋体" w:hAnsi="宋体" w:eastAsia="宋体" w:cs="宋体"/>
                <w:color w:val="auto"/>
                <w:sz w:val="21"/>
                <w:szCs w:val="21"/>
                <w:highlight w:val="none"/>
              </w:rPr>
            </w:pPr>
            <w:bookmarkStart w:id="84" w:name="_Toc476258669"/>
            <w:r>
              <w:rPr>
                <w:rFonts w:hint="eastAsia" w:ascii="宋体" w:hAnsi="宋体" w:eastAsia="宋体" w:cs="宋体"/>
                <w:color w:val="auto"/>
                <w:sz w:val="21"/>
                <w:szCs w:val="21"/>
                <w:highlight w:val="none"/>
              </w:rPr>
              <w:t>2</w:t>
            </w:r>
            <w:bookmarkEnd w:id="84"/>
          </w:p>
        </w:tc>
        <w:tc>
          <w:tcPr>
            <w:tcW w:w="3013" w:type="dxa"/>
            <w:noWrap w:val="0"/>
            <w:vAlign w:val="center"/>
          </w:tcPr>
          <w:p w14:paraId="507AD9FA">
            <w:pPr>
              <w:shd w:val="clea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31670DA7">
            <w:pPr>
              <w:shd w:val="clear"/>
              <w:rPr>
                <w:rFonts w:hint="eastAsia" w:ascii="宋体" w:hAnsi="宋体" w:eastAsia="宋体" w:cs="宋体"/>
                <w:color w:val="auto"/>
                <w:sz w:val="21"/>
                <w:szCs w:val="21"/>
                <w:highlight w:val="none"/>
              </w:rPr>
            </w:pPr>
          </w:p>
        </w:tc>
        <w:tc>
          <w:tcPr>
            <w:tcW w:w="1571" w:type="dxa"/>
            <w:noWrap w:val="0"/>
            <w:vAlign w:val="center"/>
          </w:tcPr>
          <w:p w14:paraId="0ED71BFE">
            <w:pPr>
              <w:shd w:val="clear"/>
              <w:rPr>
                <w:rFonts w:hint="eastAsia" w:ascii="宋体" w:hAnsi="宋体" w:eastAsia="宋体" w:cs="宋体"/>
                <w:color w:val="auto"/>
                <w:sz w:val="21"/>
                <w:szCs w:val="21"/>
                <w:highlight w:val="none"/>
              </w:rPr>
            </w:pPr>
          </w:p>
        </w:tc>
        <w:tc>
          <w:tcPr>
            <w:tcW w:w="1460" w:type="dxa"/>
            <w:noWrap w:val="0"/>
            <w:vAlign w:val="center"/>
          </w:tcPr>
          <w:p w14:paraId="5C1AFEC5">
            <w:pPr>
              <w:shd w:val="clear"/>
              <w:rPr>
                <w:rFonts w:hint="eastAsia" w:ascii="宋体" w:hAnsi="宋体" w:eastAsia="宋体" w:cs="宋体"/>
                <w:color w:val="auto"/>
                <w:sz w:val="21"/>
                <w:szCs w:val="21"/>
                <w:highlight w:val="none"/>
              </w:rPr>
            </w:pPr>
          </w:p>
        </w:tc>
      </w:tr>
      <w:tr w14:paraId="501419F6">
        <w:trPr>
          <w:cantSplit/>
          <w:trHeight w:val="420" w:hRule="atLeast"/>
        </w:trPr>
        <w:tc>
          <w:tcPr>
            <w:tcW w:w="651" w:type="dxa"/>
            <w:noWrap w:val="0"/>
            <w:vAlign w:val="center"/>
          </w:tcPr>
          <w:p w14:paraId="0CF2F140">
            <w:pPr>
              <w:shd w:val="clear"/>
              <w:jc w:val="center"/>
              <w:rPr>
                <w:rFonts w:hint="eastAsia" w:ascii="宋体" w:hAnsi="宋体" w:eastAsia="宋体" w:cs="宋体"/>
                <w:color w:val="auto"/>
                <w:sz w:val="21"/>
                <w:szCs w:val="21"/>
                <w:highlight w:val="none"/>
              </w:rPr>
            </w:pPr>
            <w:bookmarkStart w:id="85" w:name="_Toc476258670"/>
            <w:r>
              <w:rPr>
                <w:rFonts w:hint="eastAsia" w:ascii="宋体" w:hAnsi="宋体" w:eastAsia="宋体" w:cs="宋体"/>
                <w:color w:val="auto"/>
                <w:sz w:val="21"/>
                <w:szCs w:val="21"/>
                <w:highlight w:val="none"/>
              </w:rPr>
              <w:t>3</w:t>
            </w:r>
            <w:bookmarkEnd w:id="85"/>
          </w:p>
        </w:tc>
        <w:tc>
          <w:tcPr>
            <w:tcW w:w="3013" w:type="dxa"/>
            <w:noWrap w:val="0"/>
            <w:vAlign w:val="center"/>
          </w:tcPr>
          <w:p w14:paraId="7A97488F">
            <w:pPr>
              <w:shd w:val="clear"/>
              <w:spacing w:line="360" w:lineRule="auto"/>
              <w:jc w:val="center"/>
              <w:rPr>
                <w:rFonts w:hint="eastAsia" w:ascii="宋体" w:hAnsi="宋体" w:eastAsia="宋体" w:cs="宋体"/>
                <w:b w:val="0"/>
                <w:bCs w:val="0"/>
                <w:color w:val="auto"/>
                <w:kern w:val="2"/>
                <w:sz w:val="21"/>
                <w:szCs w:val="21"/>
                <w:highlight w:val="none"/>
                <w:lang w:val="en-US" w:eastAsia="zh-CN" w:bidi="ar-SA"/>
              </w:rPr>
            </w:pPr>
          </w:p>
        </w:tc>
        <w:tc>
          <w:tcPr>
            <w:tcW w:w="3159" w:type="dxa"/>
            <w:noWrap w:val="0"/>
            <w:vAlign w:val="center"/>
          </w:tcPr>
          <w:p w14:paraId="74781FF1">
            <w:pPr>
              <w:shd w:val="clear"/>
              <w:rPr>
                <w:rFonts w:hint="eastAsia" w:ascii="宋体" w:hAnsi="宋体" w:eastAsia="宋体" w:cs="宋体"/>
                <w:color w:val="auto"/>
                <w:sz w:val="21"/>
                <w:szCs w:val="21"/>
                <w:highlight w:val="none"/>
              </w:rPr>
            </w:pPr>
          </w:p>
        </w:tc>
        <w:tc>
          <w:tcPr>
            <w:tcW w:w="1571" w:type="dxa"/>
            <w:noWrap w:val="0"/>
            <w:vAlign w:val="center"/>
          </w:tcPr>
          <w:p w14:paraId="3A4BFEBE">
            <w:pPr>
              <w:shd w:val="clear"/>
              <w:rPr>
                <w:rFonts w:hint="eastAsia" w:ascii="宋体" w:hAnsi="宋体" w:eastAsia="宋体" w:cs="宋体"/>
                <w:color w:val="auto"/>
                <w:sz w:val="21"/>
                <w:szCs w:val="21"/>
                <w:highlight w:val="none"/>
              </w:rPr>
            </w:pPr>
          </w:p>
        </w:tc>
        <w:tc>
          <w:tcPr>
            <w:tcW w:w="1460" w:type="dxa"/>
            <w:noWrap w:val="0"/>
            <w:vAlign w:val="center"/>
          </w:tcPr>
          <w:p w14:paraId="6CEA3EB8">
            <w:pPr>
              <w:shd w:val="clear"/>
              <w:rPr>
                <w:rFonts w:hint="eastAsia" w:ascii="宋体" w:hAnsi="宋体" w:eastAsia="宋体" w:cs="宋体"/>
                <w:color w:val="auto"/>
                <w:sz w:val="21"/>
                <w:szCs w:val="21"/>
                <w:highlight w:val="none"/>
              </w:rPr>
            </w:pPr>
          </w:p>
        </w:tc>
      </w:tr>
      <w:tr w14:paraId="486520DE">
        <w:trPr>
          <w:trHeight w:val="190" w:hRule="atLeast"/>
        </w:trPr>
        <w:tc>
          <w:tcPr>
            <w:tcW w:w="651" w:type="dxa"/>
            <w:noWrap w:val="0"/>
            <w:vAlign w:val="center"/>
          </w:tcPr>
          <w:p w14:paraId="5ACAFBD2">
            <w:pPr>
              <w:shd w:val="clear"/>
              <w:jc w:val="center"/>
              <w:rPr>
                <w:rFonts w:hint="eastAsia" w:ascii="宋体" w:hAnsi="宋体" w:eastAsia="宋体" w:cs="宋体"/>
                <w:color w:val="auto"/>
                <w:sz w:val="21"/>
                <w:szCs w:val="21"/>
                <w:highlight w:val="none"/>
              </w:rPr>
            </w:pPr>
            <w:bookmarkStart w:id="86" w:name="_Toc476258671"/>
            <w:r>
              <w:rPr>
                <w:rFonts w:hint="eastAsia" w:ascii="宋体" w:hAnsi="宋体" w:eastAsia="宋体" w:cs="宋体"/>
                <w:color w:val="auto"/>
                <w:sz w:val="21"/>
                <w:szCs w:val="21"/>
                <w:highlight w:val="none"/>
              </w:rPr>
              <w:t>…</w:t>
            </w:r>
            <w:bookmarkEnd w:id="86"/>
          </w:p>
        </w:tc>
        <w:tc>
          <w:tcPr>
            <w:tcW w:w="3013" w:type="dxa"/>
            <w:noWrap w:val="0"/>
            <w:vAlign w:val="center"/>
          </w:tcPr>
          <w:p w14:paraId="5FD3B1F0">
            <w:pPr>
              <w:shd w:val="clear"/>
              <w:rPr>
                <w:rFonts w:hint="eastAsia" w:ascii="宋体" w:hAnsi="宋体" w:eastAsia="宋体" w:cs="宋体"/>
                <w:color w:val="auto"/>
                <w:sz w:val="21"/>
                <w:szCs w:val="21"/>
                <w:highlight w:val="none"/>
              </w:rPr>
            </w:pPr>
          </w:p>
        </w:tc>
        <w:tc>
          <w:tcPr>
            <w:tcW w:w="3159" w:type="dxa"/>
            <w:noWrap w:val="0"/>
            <w:vAlign w:val="center"/>
          </w:tcPr>
          <w:p w14:paraId="25299E8F">
            <w:pPr>
              <w:shd w:val="clear"/>
              <w:rPr>
                <w:rFonts w:hint="eastAsia" w:ascii="宋体" w:hAnsi="宋体" w:eastAsia="宋体" w:cs="宋体"/>
                <w:color w:val="auto"/>
                <w:sz w:val="21"/>
                <w:szCs w:val="21"/>
                <w:highlight w:val="none"/>
              </w:rPr>
            </w:pPr>
          </w:p>
        </w:tc>
        <w:tc>
          <w:tcPr>
            <w:tcW w:w="1571" w:type="dxa"/>
            <w:tcBorders>
              <w:right w:val="single" w:color="auto" w:sz="4" w:space="0"/>
            </w:tcBorders>
            <w:noWrap w:val="0"/>
            <w:vAlign w:val="center"/>
          </w:tcPr>
          <w:p w14:paraId="4C91861E">
            <w:pPr>
              <w:shd w:val="clear"/>
              <w:rPr>
                <w:rFonts w:hint="eastAsia" w:ascii="宋体" w:hAnsi="宋体" w:eastAsia="宋体" w:cs="宋体"/>
                <w:color w:val="auto"/>
                <w:sz w:val="21"/>
                <w:szCs w:val="21"/>
                <w:highlight w:val="none"/>
              </w:rPr>
            </w:pPr>
          </w:p>
        </w:tc>
        <w:tc>
          <w:tcPr>
            <w:tcW w:w="1460" w:type="dxa"/>
            <w:tcBorders>
              <w:left w:val="single" w:color="auto" w:sz="4" w:space="0"/>
            </w:tcBorders>
            <w:noWrap w:val="0"/>
            <w:vAlign w:val="center"/>
          </w:tcPr>
          <w:p w14:paraId="7CA06A11">
            <w:pPr>
              <w:shd w:val="clear"/>
              <w:rPr>
                <w:rFonts w:hint="eastAsia" w:ascii="宋体" w:hAnsi="宋体" w:eastAsia="宋体" w:cs="宋体"/>
                <w:color w:val="auto"/>
                <w:sz w:val="21"/>
                <w:szCs w:val="21"/>
                <w:highlight w:val="none"/>
              </w:rPr>
            </w:pPr>
          </w:p>
        </w:tc>
      </w:tr>
    </w:tbl>
    <w:p w14:paraId="1823B6FD">
      <w:pPr>
        <w:keepNext w:val="0"/>
        <w:keepLines w:val="0"/>
        <w:pageBreakBefore w:val="0"/>
        <w:widowControl w:val="0"/>
        <w:shd w:val="clear"/>
        <w:kinsoku/>
        <w:wordWrap/>
        <w:overflowPunct/>
        <w:topLinePunct w:val="0"/>
        <w:autoSpaceDE/>
        <w:autoSpaceDN/>
        <w:bidi w:val="0"/>
        <w:adjustRightInd w:val="0"/>
        <w:snapToGrid w:val="0"/>
        <w:spacing w:line="380" w:lineRule="exact"/>
        <w:textAlignment w:val="auto"/>
        <w:rPr>
          <w:rFonts w:hint="eastAsia" w:ascii="宋体" w:hAnsi="宋体"/>
          <w:b/>
          <w:color w:val="auto"/>
          <w:szCs w:val="21"/>
          <w:highlight w:val="none"/>
        </w:rPr>
      </w:pPr>
      <w:r>
        <w:rPr>
          <w:rFonts w:hint="eastAsia" w:ascii="宋体" w:hAnsi="宋体"/>
          <w:b/>
          <w:color w:val="auto"/>
          <w:szCs w:val="21"/>
          <w:highlight w:val="none"/>
        </w:rPr>
        <w:t>说明：</w:t>
      </w:r>
      <w:r>
        <w:rPr>
          <w:rFonts w:hint="eastAsia" w:hAnsi="宋体"/>
          <w:b/>
          <w:color w:val="auto"/>
          <w:highlight w:val="none"/>
        </w:rPr>
        <w:t>1、应写明竞</w:t>
      </w:r>
      <w:r>
        <w:rPr>
          <w:rFonts w:hint="eastAsia" w:ascii="宋体" w:hAnsi="宋体"/>
          <w:b/>
          <w:color w:val="auto"/>
          <w:szCs w:val="21"/>
          <w:highlight w:val="none"/>
        </w:rPr>
        <w:t>争性磋商响应文件对</w:t>
      </w:r>
      <w:r>
        <w:rPr>
          <w:rFonts w:hint="eastAsia"/>
          <w:b/>
          <w:color w:val="auto"/>
          <w:highlight w:val="none"/>
        </w:rPr>
        <w:t>商务</w:t>
      </w:r>
      <w:r>
        <w:rPr>
          <w:rFonts w:hint="eastAsia" w:hAnsi="宋体"/>
          <w:b/>
          <w:color w:val="auto"/>
          <w:highlight w:val="none"/>
        </w:rPr>
        <w:t>与服务要求的</w:t>
      </w:r>
      <w:r>
        <w:rPr>
          <w:rFonts w:hint="eastAsia" w:ascii="宋体" w:hAnsi="宋体"/>
          <w:b/>
          <w:color w:val="auto"/>
          <w:szCs w:val="21"/>
          <w:highlight w:val="none"/>
        </w:rPr>
        <w:t>响应和偏离情况</w:t>
      </w:r>
      <w:r>
        <w:rPr>
          <w:rFonts w:hint="eastAsia"/>
          <w:b/>
          <w:bCs/>
          <w:color w:val="auto"/>
          <w:szCs w:val="21"/>
          <w:highlight w:val="none"/>
        </w:rPr>
        <w:t>；</w:t>
      </w:r>
    </w:p>
    <w:p w14:paraId="15C2D0E9">
      <w:pPr>
        <w:pStyle w:val="8"/>
        <w:keepNext w:val="0"/>
        <w:keepLines w:val="0"/>
        <w:pageBreakBefore w:val="0"/>
        <w:widowControl w:val="0"/>
        <w:shd w:val="clear"/>
        <w:kinsoku/>
        <w:wordWrap/>
        <w:overflowPunct/>
        <w:topLinePunct w:val="0"/>
        <w:autoSpaceDE/>
        <w:autoSpaceDN/>
        <w:bidi w:val="0"/>
        <w:spacing w:line="380" w:lineRule="exact"/>
        <w:ind w:firstLine="631" w:firstLineChars="300"/>
        <w:textAlignment w:val="auto"/>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2、应对照竞争性磋商文件“第三章</w:t>
      </w:r>
      <w:r>
        <w:rPr>
          <w:rFonts w:hint="eastAsia" w:ascii="宋体" w:hAnsi="宋体" w:eastAsia="宋体"/>
          <w:b/>
          <w:color w:val="auto"/>
          <w:sz w:val="21"/>
          <w:szCs w:val="21"/>
          <w:highlight w:val="none"/>
          <w:lang w:eastAsia="zh-CN"/>
        </w:rPr>
        <w:t xml:space="preserve"> 采购项目技术规格、参数及要求</w:t>
      </w:r>
      <w:r>
        <w:rPr>
          <w:rFonts w:hint="eastAsia" w:ascii="宋体" w:hAnsi="宋体" w:eastAsia="宋体"/>
          <w:b/>
          <w:color w:val="auto"/>
          <w:sz w:val="21"/>
          <w:szCs w:val="21"/>
          <w:highlight w:val="none"/>
        </w:rPr>
        <w:t>”，逐条说明所提供货物和服务已对竞争性磋商文件的商务、</w:t>
      </w:r>
      <w:r>
        <w:rPr>
          <w:rFonts w:hint="eastAsia" w:ascii="宋体" w:hAnsi="宋体" w:eastAsia="宋体"/>
          <w:b/>
          <w:color w:val="auto"/>
          <w:sz w:val="21"/>
          <w:szCs w:val="21"/>
          <w:highlight w:val="none"/>
          <w:lang w:eastAsia="zh-CN"/>
        </w:rPr>
        <w:t>服务</w:t>
      </w:r>
      <w:r>
        <w:rPr>
          <w:rFonts w:hint="eastAsia" w:ascii="宋体" w:hAnsi="宋体" w:eastAsia="宋体"/>
          <w:b/>
          <w:color w:val="auto"/>
          <w:sz w:val="21"/>
          <w:szCs w:val="21"/>
          <w:highlight w:val="none"/>
        </w:rPr>
        <w:t>做出了实质性的响应，并申明商务、技术条文的响应和偏离。特别对有具体商务、</w:t>
      </w:r>
      <w:r>
        <w:rPr>
          <w:rFonts w:hint="eastAsia" w:ascii="宋体" w:hAnsi="宋体" w:eastAsia="宋体"/>
          <w:b/>
          <w:color w:val="auto"/>
          <w:sz w:val="21"/>
          <w:szCs w:val="21"/>
          <w:highlight w:val="none"/>
          <w:lang w:eastAsia="zh-CN"/>
        </w:rPr>
        <w:t>服务</w:t>
      </w:r>
      <w:r>
        <w:rPr>
          <w:rFonts w:hint="eastAsia" w:ascii="宋体" w:hAnsi="宋体" w:eastAsia="宋体"/>
          <w:b/>
          <w:color w:val="auto"/>
          <w:sz w:val="21"/>
          <w:szCs w:val="21"/>
          <w:highlight w:val="none"/>
        </w:rPr>
        <w:t>参数要求的，磋商供应商必须提供对应的详细应答。</w:t>
      </w:r>
    </w:p>
    <w:p w14:paraId="0D9A31CA">
      <w:pPr>
        <w:pStyle w:val="10"/>
        <w:shd w:val="clear"/>
        <w:spacing w:line="360" w:lineRule="exact"/>
        <w:rPr>
          <w:rFonts w:hint="eastAsia" w:hAnsi="宋体"/>
          <w:color w:val="auto"/>
          <w:highlight w:val="none"/>
        </w:rPr>
      </w:pPr>
    </w:p>
    <w:p w14:paraId="15FBFAC8">
      <w:pPr>
        <w:pStyle w:val="10"/>
        <w:shd w:val="clear"/>
        <w:spacing w:line="500" w:lineRule="exact"/>
        <w:ind w:firstLine="4200" w:firstLineChars="2000"/>
        <w:rPr>
          <w:rFonts w:hint="eastAsia" w:hAnsi="宋体"/>
          <w:color w:val="auto"/>
          <w:highlight w:val="none"/>
          <w:u w:val="single"/>
        </w:rPr>
      </w:pPr>
      <w:r>
        <w:rPr>
          <w:rFonts w:hint="eastAsia" w:hAnsi="宋体"/>
          <w:color w:val="auto"/>
          <w:highlight w:val="none"/>
        </w:rPr>
        <w:t>法定代表人或委托代理人（签字）:</w:t>
      </w:r>
      <w:r>
        <w:rPr>
          <w:rFonts w:hint="eastAsia" w:hAnsi="宋体"/>
          <w:color w:val="auto"/>
          <w:highlight w:val="none"/>
          <w:u w:val="single"/>
        </w:rPr>
        <w:t xml:space="preserve">              </w:t>
      </w:r>
    </w:p>
    <w:p w14:paraId="25C8B24A">
      <w:pPr>
        <w:pStyle w:val="10"/>
        <w:shd w:val="clear"/>
        <w:spacing w:line="500" w:lineRule="exact"/>
        <w:ind w:firstLine="4200" w:firstLineChars="2000"/>
        <w:rPr>
          <w:rFonts w:hint="eastAsia" w:hAnsi="宋体"/>
          <w:color w:val="auto"/>
          <w:highlight w:val="none"/>
          <w:u w:val="single"/>
        </w:rPr>
      </w:pPr>
      <w:r>
        <w:rPr>
          <w:rFonts w:hint="eastAsia" w:hAnsi="宋体"/>
          <w:color w:val="auto"/>
          <w:highlight w:val="none"/>
        </w:rPr>
        <w:t>磋商供应商名称（盖章）：</w:t>
      </w:r>
      <w:r>
        <w:rPr>
          <w:rFonts w:hint="eastAsia" w:hAnsi="宋体"/>
          <w:color w:val="auto"/>
          <w:highlight w:val="none"/>
          <w:u w:val="single"/>
        </w:rPr>
        <w:t xml:space="preserve">                     </w:t>
      </w:r>
    </w:p>
    <w:p w14:paraId="377C5194">
      <w:pPr>
        <w:shd w:val="clear"/>
        <w:spacing w:line="500" w:lineRule="exact"/>
        <w:ind w:firstLine="4200" w:firstLineChars="200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EC79FEE">
      <w:pPr>
        <w:shd w:val="clear"/>
        <w:snapToGrid w:val="0"/>
        <w:spacing w:before="156" w:beforeLines="50" w:line="380" w:lineRule="exact"/>
        <w:ind w:right="480" w:firstLine="4792" w:firstLineChars="2282"/>
        <w:rPr>
          <w:rFonts w:hint="eastAsia" w:hAnsi="宋体"/>
          <w:color w:val="auto"/>
          <w:highlight w:val="none"/>
          <w:u w:val="single"/>
        </w:rPr>
      </w:pPr>
    </w:p>
    <w:p w14:paraId="40F8D12F">
      <w:pPr>
        <w:shd w:val="clear"/>
        <w:spacing w:line="300" w:lineRule="auto"/>
        <w:rPr>
          <w:rFonts w:hint="eastAsia" w:ascii="宋体" w:hAnsi="宋体"/>
          <w:color w:val="auto"/>
          <w:szCs w:val="21"/>
          <w:highlight w:val="none"/>
        </w:rPr>
      </w:pPr>
    </w:p>
    <w:p w14:paraId="434CE101">
      <w:pPr>
        <w:shd w:val="clear"/>
        <w:spacing w:line="300" w:lineRule="auto"/>
        <w:rPr>
          <w:rFonts w:hint="eastAsia" w:ascii="宋体" w:hAnsi="宋体"/>
          <w:color w:val="auto"/>
          <w:szCs w:val="21"/>
          <w:highlight w:val="none"/>
        </w:rPr>
      </w:pPr>
    </w:p>
    <w:p w14:paraId="37FC6B7A">
      <w:pPr>
        <w:shd w:val="clea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65B6A12F">
      <w:pPr>
        <w:shd w:val="clear"/>
        <w:adjustRightInd w:val="0"/>
        <w:snapToGrid w:val="0"/>
        <w:spacing w:line="30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法定代表人授权委托书</w:t>
      </w:r>
    </w:p>
    <w:p w14:paraId="4C2460AE">
      <w:pPr>
        <w:shd w:val="clear"/>
        <w:adjustRightInd w:val="0"/>
        <w:snapToGrid w:val="0"/>
        <w:spacing w:line="520" w:lineRule="exact"/>
        <w:rPr>
          <w:rFonts w:hint="eastAsia" w:ascii="宋体" w:hAnsi="宋体"/>
          <w:color w:val="auto"/>
          <w:szCs w:val="21"/>
          <w:highlight w:val="none"/>
        </w:rPr>
      </w:pPr>
    </w:p>
    <w:p w14:paraId="6557E6F3">
      <w:pPr>
        <w:shd w:val="clear"/>
        <w:spacing w:line="520" w:lineRule="exact"/>
        <w:rPr>
          <w:rFonts w:hint="eastAsia" w:ascii="宋体" w:hAnsi="宋体"/>
          <w:color w:val="auto"/>
          <w:szCs w:val="21"/>
          <w:highlight w:val="none"/>
        </w:rPr>
      </w:pPr>
      <w:r>
        <w:rPr>
          <w:rFonts w:hint="eastAsia" w:ascii="宋体" w:hAnsi="宋体"/>
          <w:color w:val="auto"/>
          <w:szCs w:val="21"/>
          <w:highlight w:val="none"/>
          <w:u w:val="single"/>
          <w:lang w:val="en-US" w:eastAsia="zh-CN"/>
        </w:rPr>
        <w:t>广西国力招标有限公司</w:t>
      </w:r>
      <w:r>
        <w:rPr>
          <w:rFonts w:hint="eastAsia" w:ascii="宋体" w:hAnsi="宋体"/>
          <w:color w:val="auto"/>
          <w:szCs w:val="21"/>
          <w:highlight w:val="none"/>
        </w:rPr>
        <w:t>：</w:t>
      </w:r>
    </w:p>
    <w:p w14:paraId="0EF5BF38">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（采购项目名称、采购项目编号）竞争性磋商</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10603FF3">
      <w:pPr>
        <w:shd w:val="clear"/>
        <w:spacing w:line="520" w:lineRule="exact"/>
        <w:rPr>
          <w:rFonts w:hint="eastAsia" w:ascii="宋体" w:hAnsi="宋体"/>
          <w:color w:val="auto"/>
          <w:szCs w:val="21"/>
          <w:highlight w:val="none"/>
        </w:rPr>
      </w:pPr>
    </w:p>
    <w:p w14:paraId="6DC88543">
      <w:pPr>
        <w:shd w:val="clear"/>
        <w:spacing w:line="520" w:lineRule="exact"/>
        <w:rPr>
          <w:rFonts w:hint="eastAsia" w:ascii="宋体" w:hAnsi="宋体"/>
          <w:color w:val="auto"/>
          <w:szCs w:val="21"/>
          <w:highlight w:val="none"/>
        </w:rPr>
      </w:pPr>
      <w:r>
        <w:rPr>
          <w:rFonts w:hint="eastAsia" w:ascii="宋体" w:hAnsi="宋体"/>
          <w:color w:val="auto"/>
          <w:szCs w:val="21"/>
          <w:highlight w:val="none"/>
        </w:rPr>
        <w:t>磋商供应商（盖章）：</w:t>
      </w:r>
      <w:r>
        <w:rPr>
          <w:rFonts w:hint="eastAsia" w:ascii="宋体" w:hAnsi="宋体"/>
          <w:color w:val="auto"/>
          <w:szCs w:val="21"/>
          <w:highlight w:val="none"/>
          <w:u w:val="single"/>
        </w:rPr>
        <w:t xml:space="preserve">                   </w:t>
      </w:r>
    </w:p>
    <w:p w14:paraId="0F56B6EF">
      <w:pPr>
        <w:shd w:val="clea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4BBF869F">
      <w:pPr>
        <w:shd w:val="clea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E13196">
      <w:pPr>
        <w:shd w:val="clear"/>
        <w:spacing w:line="520" w:lineRule="exact"/>
        <w:rPr>
          <w:rFonts w:hint="eastAsia" w:ascii="宋体" w:hAnsi="宋体"/>
          <w:color w:val="auto"/>
          <w:szCs w:val="21"/>
          <w:highlight w:val="none"/>
        </w:rPr>
      </w:pPr>
    </w:p>
    <w:p w14:paraId="5795EBA2">
      <w:pPr>
        <w:shd w:val="clea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29403B15">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2B84D3BE">
      <w:pPr>
        <w:shd w:val="clea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1076BCE3">
      <w:pPr>
        <w:shd w:val="clear"/>
        <w:adjustRightInd w:val="0"/>
        <w:snapToGrid w:val="0"/>
        <w:spacing w:line="520" w:lineRule="exact"/>
        <w:ind w:firstLine="420" w:firstLineChars="200"/>
        <w:rPr>
          <w:rFonts w:hint="eastAsia" w:ascii="宋体" w:hAnsi="宋体"/>
          <w:color w:val="auto"/>
          <w:szCs w:val="21"/>
          <w:highlight w:val="none"/>
          <w:u w:val="single"/>
        </w:rPr>
      </w:pPr>
    </w:p>
    <w:tbl>
      <w:tblPr>
        <w:tblStyle w:val="1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1B6B8E72">
        <w:trPr>
          <w:trHeight w:val="1869" w:hRule="atLeast"/>
        </w:trPr>
        <w:tc>
          <w:tcPr>
            <w:tcW w:w="8861" w:type="dxa"/>
            <w:noWrap w:val="0"/>
            <w:vAlign w:val="top"/>
          </w:tcPr>
          <w:p w14:paraId="05AB0AD4">
            <w:pPr>
              <w:shd w:val="clea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53B494BA">
      <w:pPr>
        <w:shd w:val="clear"/>
        <w:autoSpaceDE w:val="0"/>
        <w:autoSpaceDN w:val="0"/>
        <w:spacing w:line="300" w:lineRule="auto"/>
        <w:ind w:left="480" w:hanging="480"/>
        <w:rPr>
          <w:rFonts w:hint="eastAsia" w:ascii="宋体" w:hAnsi="宋体"/>
          <w:color w:val="auto"/>
          <w:szCs w:val="21"/>
          <w:highlight w:val="none"/>
        </w:rPr>
      </w:pPr>
    </w:p>
    <w:p w14:paraId="41E24153">
      <w:pPr>
        <w:shd w:val="clear"/>
        <w:autoSpaceDE w:val="0"/>
        <w:autoSpaceDN w:val="0"/>
        <w:spacing w:line="300" w:lineRule="auto"/>
        <w:ind w:left="480" w:hanging="480"/>
        <w:rPr>
          <w:rFonts w:hint="eastAsia" w:ascii="宋体" w:hAnsi="宋体"/>
          <w:color w:val="auto"/>
          <w:szCs w:val="21"/>
          <w:highlight w:val="none"/>
        </w:rPr>
      </w:pPr>
    </w:p>
    <w:p w14:paraId="373C9CD2">
      <w:pPr>
        <w:shd w:val="clear"/>
        <w:rPr>
          <w:rFonts w:hint="eastAsia" w:ascii="宋体" w:hAnsi="宋体"/>
          <w:b/>
          <w:color w:val="auto"/>
          <w:szCs w:val="21"/>
          <w:highlight w:val="none"/>
        </w:rPr>
      </w:pPr>
      <w:r>
        <w:rPr>
          <w:rFonts w:hint="eastAsia" w:ascii="宋体" w:hAnsi="宋体"/>
          <w:b/>
          <w:color w:val="auto"/>
          <w:szCs w:val="21"/>
          <w:highlight w:val="none"/>
        </w:rPr>
        <w:br w:type="page"/>
      </w:r>
    </w:p>
    <w:p w14:paraId="6A844E0A">
      <w:pPr>
        <w:shd w:val="clear"/>
        <w:spacing w:line="500" w:lineRule="exact"/>
        <w:rPr>
          <w:rFonts w:hint="eastAsia" w:ascii="宋体" w:hAnsi="宋体"/>
          <w:b/>
          <w:color w:val="auto"/>
          <w:szCs w:val="21"/>
          <w:highlight w:val="none"/>
        </w:rPr>
      </w:pPr>
      <w:r>
        <w:rPr>
          <w:rFonts w:hint="eastAsia" w:ascii="宋体" w:hAnsi="宋体"/>
          <w:b/>
          <w:color w:val="auto"/>
          <w:szCs w:val="21"/>
          <w:highlight w:val="none"/>
        </w:rPr>
        <w:t>附件五</w:t>
      </w:r>
    </w:p>
    <w:p w14:paraId="51F0CEB8">
      <w:pPr>
        <w:shd w:val="clear"/>
        <w:spacing w:line="500" w:lineRule="exact"/>
        <w:rPr>
          <w:rFonts w:hint="eastAsia" w:ascii="宋体" w:hAnsi="宋体"/>
          <w:b/>
          <w:color w:val="auto"/>
          <w:szCs w:val="21"/>
          <w:highlight w:val="none"/>
        </w:rPr>
      </w:pPr>
    </w:p>
    <w:p w14:paraId="4DD62D30">
      <w:pPr>
        <w:pStyle w:val="10"/>
        <w:shd w:val="clear"/>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服务</w:t>
      </w:r>
      <w:r>
        <w:rPr>
          <w:rFonts w:hAnsi="宋体"/>
          <w:b/>
          <w:bCs/>
          <w:color w:val="auto"/>
          <w:sz w:val="30"/>
          <w:szCs w:val="30"/>
          <w:highlight w:val="none"/>
        </w:rPr>
        <w:t>）</w:t>
      </w:r>
    </w:p>
    <w:p w14:paraId="6AC0FF51">
      <w:pPr>
        <w:shd w:val="clear"/>
        <w:rPr>
          <w:color w:val="auto"/>
          <w:highlight w:val="none"/>
        </w:rPr>
      </w:pPr>
    </w:p>
    <w:p w14:paraId="6AF77BDF">
      <w:pPr>
        <w:pStyle w:val="10"/>
        <w:shd w:val="clear"/>
        <w:spacing w:line="500" w:lineRule="exact"/>
        <w:ind w:firstLine="525" w:firstLineChars="250"/>
        <w:jc w:val="left"/>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w:t>
      </w:r>
      <w:r>
        <w:rPr>
          <w:rFonts w:hint="eastAsia"/>
          <w:color w:val="auto"/>
          <w:sz w:val="21"/>
          <w:szCs w:val="21"/>
          <w:highlight w:val="none"/>
          <w:u w:val="single"/>
        </w:rPr>
        <w:t>（单位名称）</w:t>
      </w:r>
      <w:r>
        <w:rPr>
          <w:rFonts w:hint="eastAsia"/>
          <w:color w:val="auto"/>
          <w:sz w:val="21"/>
          <w:szCs w:val="21"/>
          <w:highlight w:val="none"/>
        </w:rPr>
        <w:t>的</w:t>
      </w:r>
      <w:r>
        <w:rPr>
          <w:rFonts w:hint="eastAsia"/>
          <w:color w:val="auto"/>
          <w:sz w:val="21"/>
          <w:szCs w:val="21"/>
          <w:highlight w:val="none"/>
          <w:u w:val="single"/>
        </w:rPr>
        <w:t>（项目名称）</w:t>
      </w:r>
      <w:r>
        <w:rPr>
          <w:rFonts w:hint="eastAsia"/>
          <w:color w:val="auto"/>
          <w:sz w:val="21"/>
          <w:szCs w:val="21"/>
          <w:highlight w:val="none"/>
        </w:rPr>
        <w:t>采购活动，服务全部由符合政策要求的中小企业承接。相关企业（含联合体中的中小企业、签订分包意向协议的中小企业）的具体情况如下：</w:t>
      </w:r>
    </w:p>
    <w:p w14:paraId="1E5951D6">
      <w:pPr>
        <w:pStyle w:val="10"/>
        <w:shd w:val="clear"/>
        <w:spacing w:line="500" w:lineRule="exact"/>
        <w:ind w:firstLine="420" w:firstLineChars="200"/>
        <w:jc w:val="left"/>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；承接企业为</w:t>
      </w:r>
      <w:r>
        <w:rPr>
          <w:rFonts w:hint="eastAsia"/>
          <w:color w:val="auto"/>
          <w:sz w:val="21"/>
          <w:szCs w:val="21"/>
          <w:highlight w:val="none"/>
          <w:u w:val="single"/>
        </w:rPr>
        <w:t>（企业名称）</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（中型企业、小型企业、微型企业）</w:t>
      </w:r>
      <w:r>
        <w:rPr>
          <w:rFonts w:hint="eastAsia"/>
          <w:color w:val="auto"/>
          <w:sz w:val="21"/>
          <w:szCs w:val="21"/>
          <w:highlight w:val="none"/>
        </w:rPr>
        <w:t xml:space="preserve">； </w:t>
      </w:r>
    </w:p>
    <w:p w14:paraId="17517DEC">
      <w:pPr>
        <w:pStyle w:val="10"/>
        <w:shd w:val="clear"/>
        <w:spacing w:line="500" w:lineRule="exact"/>
        <w:ind w:firstLine="420" w:firstLineChars="200"/>
        <w:jc w:val="left"/>
        <w:rPr>
          <w:rFonts w:hint="eastAsia"/>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（采购文件中明确的所属行业）</w:t>
      </w:r>
      <w:r>
        <w:rPr>
          <w:rFonts w:hint="eastAsia"/>
          <w:color w:val="auto"/>
          <w:sz w:val="21"/>
          <w:szCs w:val="21"/>
          <w:highlight w:val="none"/>
        </w:rPr>
        <w:t>；承接企业为（企业名称），从业人员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（中型企业、小型企业、微型企业）</w:t>
      </w:r>
      <w:r>
        <w:rPr>
          <w:rFonts w:hint="eastAsia"/>
          <w:color w:val="auto"/>
          <w:sz w:val="21"/>
          <w:szCs w:val="21"/>
          <w:highlight w:val="none"/>
        </w:rPr>
        <w:t>；</w:t>
      </w:r>
    </w:p>
    <w:p w14:paraId="7F5BFC54">
      <w:pPr>
        <w:pStyle w:val="10"/>
        <w:shd w:val="clear"/>
        <w:spacing w:line="500" w:lineRule="exact"/>
        <w:ind w:firstLine="420" w:firstLineChars="200"/>
        <w:jc w:val="left"/>
        <w:rPr>
          <w:rFonts w:hint="eastAsia"/>
          <w:color w:val="auto"/>
          <w:sz w:val="21"/>
          <w:szCs w:val="21"/>
          <w:highlight w:val="none"/>
        </w:rPr>
      </w:pPr>
      <w:r>
        <w:rPr>
          <w:rFonts w:hint="eastAsia"/>
          <w:color w:val="auto"/>
          <w:sz w:val="21"/>
          <w:szCs w:val="21"/>
          <w:highlight w:val="none"/>
        </w:rPr>
        <w:t>……</w:t>
      </w:r>
    </w:p>
    <w:p w14:paraId="45CFEAEE">
      <w:pPr>
        <w:pStyle w:val="10"/>
        <w:shd w:val="clear"/>
        <w:spacing w:line="500" w:lineRule="exact"/>
        <w:ind w:firstLine="420" w:firstLineChars="200"/>
        <w:jc w:val="left"/>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A671B98">
      <w:pPr>
        <w:pStyle w:val="10"/>
        <w:shd w:val="clear"/>
        <w:spacing w:line="500" w:lineRule="exact"/>
        <w:ind w:firstLine="420" w:firstLineChars="200"/>
        <w:jc w:val="left"/>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237CD0AD">
      <w:pPr>
        <w:pStyle w:val="10"/>
        <w:shd w:val="clear"/>
        <w:spacing w:line="500" w:lineRule="exact"/>
        <w:ind w:firstLine="420" w:firstLineChars="200"/>
        <w:jc w:val="left"/>
        <w:rPr>
          <w:rFonts w:hint="eastAsia"/>
          <w:color w:val="auto"/>
          <w:sz w:val="21"/>
          <w:szCs w:val="21"/>
          <w:highlight w:val="none"/>
        </w:rPr>
      </w:pPr>
    </w:p>
    <w:p w14:paraId="7A693A49">
      <w:pPr>
        <w:pStyle w:val="10"/>
        <w:shd w:val="clear"/>
        <w:spacing w:line="500" w:lineRule="exact"/>
        <w:ind w:firstLine="4620" w:firstLineChars="2200"/>
        <w:jc w:val="left"/>
        <w:rPr>
          <w:rFonts w:hint="eastAsia"/>
          <w:color w:val="auto"/>
          <w:sz w:val="21"/>
          <w:szCs w:val="21"/>
          <w:highlight w:val="none"/>
        </w:rPr>
      </w:pPr>
      <w:r>
        <w:rPr>
          <w:rFonts w:hint="eastAsia"/>
          <w:color w:val="auto"/>
          <w:sz w:val="21"/>
          <w:szCs w:val="21"/>
          <w:highlight w:val="none"/>
        </w:rPr>
        <w:t>企业名称（盖章）：</w:t>
      </w:r>
    </w:p>
    <w:p w14:paraId="064E9F41">
      <w:pPr>
        <w:pStyle w:val="10"/>
        <w:shd w:val="clear"/>
        <w:spacing w:line="500" w:lineRule="exact"/>
        <w:ind w:firstLine="4620" w:firstLineChars="2200"/>
        <w:jc w:val="left"/>
        <w:rPr>
          <w:rFonts w:hint="eastAsia"/>
          <w:color w:val="auto"/>
          <w:sz w:val="21"/>
          <w:szCs w:val="21"/>
          <w:highlight w:val="none"/>
        </w:rPr>
      </w:pPr>
      <w:r>
        <w:rPr>
          <w:rFonts w:hint="eastAsia"/>
          <w:color w:val="auto"/>
          <w:sz w:val="21"/>
          <w:szCs w:val="21"/>
          <w:highlight w:val="none"/>
        </w:rPr>
        <w:t>日 期：</w:t>
      </w:r>
    </w:p>
    <w:p w14:paraId="26850CCF">
      <w:pPr>
        <w:shd w:val="clear"/>
        <w:snapToGrid w:val="0"/>
        <w:spacing w:line="380" w:lineRule="exact"/>
        <w:ind w:firstLine="411" w:firstLineChars="196"/>
        <w:jc w:val="left"/>
        <w:rPr>
          <w:rFonts w:hint="eastAsia" w:ascii="宋体"/>
          <w:color w:val="auto"/>
          <w:sz w:val="21"/>
          <w:szCs w:val="21"/>
          <w:highlight w:val="none"/>
        </w:rPr>
      </w:pPr>
    </w:p>
    <w:p w14:paraId="5A164015">
      <w:pPr>
        <w:shd w:val="clear"/>
        <w:snapToGrid w:val="0"/>
        <w:spacing w:line="380" w:lineRule="exact"/>
        <w:ind w:firstLine="411" w:firstLineChars="196"/>
        <w:jc w:val="left"/>
        <w:rPr>
          <w:rFonts w:hint="eastAsia"/>
          <w:color w:val="auto"/>
          <w:sz w:val="21"/>
          <w:szCs w:val="21"/>
          <w:highlight w:val="none"/>
        </w:rPr>
      </w:pPr>
    </w:p>
    <w:p w14:paraId="1DCB007E">
      <w:pPr>
        <w:shd w:val="clear"/>
        <w:snapToGrid w:val="0"/>
        <w:spacing w:line="380" w:lineRule="exact"/>
        <w:ind w:firstLine="411" w:firstLineChars="196"/>
        <w:jc w:val="left"/>
        <w:rPr>
          <w:rFonts w:hint="eastAsia" w:ascii="宋体" w:hAnsi="宋体"/>
          <w:color w:val="auto"/>
          <w:sz w:val="21"/>
          <w:szCs w:val="21"/>
          <w:highlight w:val="none"/>
        </w:rPr>
      </w:pPr>
      <w:r>
        <w:rPr>
          <w:rFonts w:hint="eastAsia" w:ascii="宋体" w:hAnsi="宋体"/>
          <w:color w:val="auto"/>
          <w:sz w:val="21"/>
          <w:szCs w:val="21"/>
          <w:highlight w:val="none"/>
        </w:rPr>
        <w:t>注：1、从业人员、营业收入、资产总额填报上一年度数据，无上一年度数据的新成立企业可不填报。</w:t>
      </w:r>
    </w:p>
    <w:p w14:paraId="53898617">
      <w:pPr>
        <w:pStyle w:val="10"/>
        <w:shd w:val="clear"/>
        <w:spacing w:line="500" w:lineRule="exact"/>
        <w:jc w:val="center"/>
        <w:rPr>
          <w:rFonts w:hint="eastAsia" w:hAnsi="宋体"/>
          <w:color w:val="auto"/>
          <w:sz w:val="21"/>
          <w:szCs w:val="21"/>
          <w:highlight w:val="none"/>
        </w:rPr>
      </w:pPr>
      <w:r>
        <w:rPr>
          <w:color w:val="auto"/>
          <w:kern w:val="0"/>
          <w:sz w:val="21"/>
          <w:szCs w:val="21"/>
          <w:highlight w:val="none"/>
        </w:rPr>
        <w:br w:type="page"/>
      </w:r>
    </w:p>
    <w:p w14:paraId="5C775C5A">
      <w:pPr>
        <w:shd w:val="clear"/>
        <w:spacing w:line="528" w:lineRule="exact"/>
        <w:ind w:left="1871" w:leftChars="891" w:firstLine="1200" w:firstLineChars="300"/>
        <w:rPr>
          <w:rFonts w:ascii="宋体" w:hAnsi="宋体" w:cs="Arial Unicode MS"/>
          <w:color w:val="auto"/>
          <w:sz w:val="40"/>
          <w:szCs w:val="40"/>
          <w:highlight w:val="none"/>
        </w:rPr>
      </w:pPr>
      <w:r>
        <w:rPr>
          <w:rFonts w:hint="eastAsia" w:ascii="宋体" w:hAnsi="宋体" w:cs="微软雅黑"/>
          <w:color w:val="auto"/>
          <w:sz w:val="40"/>
          <w:szCs w:val="40"/>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678DCA6D">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5CD121FF">
            <w:pPr>
              <w:widowControl/>
              <w:shd w:val="clear"/>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35F36EA6">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02C2413F">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528D9633">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5F90686A">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2321C7DC">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1DE749E4">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466D2DF9">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89" w:type="dxa"/>
            <w:tcBorders>
              <w:top w:val="nil"/>
              <w:left w:val="nil"/>
              <w:bottom w:val="single" w:color="auto" w:sz="4" w:space="0"/>
              <w:right w:val="single" w:color="auto" w:sz="4" w:space="0"/>
            </w:tcBorders>
            <w:noWrap w:val="0"/>
            <w:vAlign w:val="center"/>
          </w:tcPr>
          <w:p w14:paraId="5039714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A62B2E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FC0A94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7987397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6" w:type="dxa"/>
            <w:tcBorders>
              <w:top w:val="nil"/>
              <w:left w:val="nil"/>
              <w:bottom w:val="single" w:color="auto" w:sz="4" w:space="0"/>
              <w:right w:val="single" w:color="auto" w:sz="4" w:space="0"/>
            </w:tcBorders>
            <w:noWrap w:val="0"/>
            <w:vAlign w:val="center"/>
          </w:tcPr>
          <w:p w14:paraId="347C924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C89F118">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7793904">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489" w:type="dxa"/>
            <w:tcBorders>
              <w:top w:val="nil"/>
              <w:left w:val="nil"/>
              <w:bottom w:val="single" w:color="auto" w:sz="4" w:space="0"/>
              <w:right w:val="single" w:color="auto" w:sz="4" w:space="0"/>
            </w:tcBorders>
            <w:noWrap w:val="0"/>
            <w:vAlign w:val="center"/>
          </w:tcPr>
          <w:p w14:paraId="4C19190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537A7E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452567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04A2BE8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405D625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3004F28">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0ACE1D0">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7172881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4F77C1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576E47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49" w:type="dxa"/>
            <w:tcBorders>
              <w:top w:val="nil"/>
              <w:left w:val="nil"/>
              <w:bottom w:val="single" w:color="auto" w:sz="4" w:space="0"/>
              <w:right w:val="single" w:color="auto" w:sz="4" w:space="0"/>
            </w:tcBorders>
            <w:noWrap w:val="0"/>
            <w:vAlign w:val="center"/>
          </w:tcPr>
          <w:p w14:paraId="5FA1049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6" w:type="dxa"/>
            <w:tcBorders>
              <w:top w:val="nil"/>
              <w:left w:val="nil"/>
              <w:bottom w:val="single" w:color="auto" w:sz="4" w:space="0"/>
              <w:right w:val="single" w:color="auto" w:sz="4" w:space="0"/>
            </w:tcBorders>
            <w:noWrap w:val="0"/>
            <w:vAlign w:val="center"/>
          </w:tcPr>
          <w:p w14:paraId="5288276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5F2C984">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A27F65F">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89" w:type="dxa"/>
            <w:tcBorders>
              <w:top w:val="nil"/>
              <w:left w:val="nil"/>
              <w:bottom w:val="single" w:color="auto" w:sz="4" w:space="0"/>
              <w:right w:val="single" w:color="auto" w:sz="4" w:space="0"/>
            </w:tcBorders>
            <w:noWrap w:val="0"/>
            <w:vAlign w:val="center"/>
          </w:tcPr>
          <w:p w14:paraId="7936ECD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7FB9052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6B415C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49" w:type="dxa"/>
            <w:tcBorders>
              <w:top w:val="nil"/>
              <w:left w:val="nil"/>
              <w:bottom w:val="single" w:color="auto" w:sz="4" w:space="0"/>
              <w:right w:val="single" w:color="auto" w:sz="4" w:space="0"/>
            </w:tcBorders>
            <w:noWrap w:val="0"/>
            <w:vAlign w:val="center"/>
          </w:tcPr>
          <w:p w14:paraId="5DB4AD9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6" w:type="dxa"/>
            <w:tcBorders>
              <w:top w:val="nil"/>
              <w:left w:val="nil"/>
              <w:bottom w:val="single" w:color="auto" w:sz="4" w:space="0"/>
              <w:right w:val="single" w:color="auto" w:sz="4" w:space="0"/>
            </w:tcBorders>
            <w:noWrap w:val="0"/>
            <w:vAlign w:val="center"/>
          </w:tcPr>
          <w:p w14:paraId="6940A37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695B95B">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123D481">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CFEF7E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5D0F298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5A9048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49" w:type="dxa"/>
            <w:tcBorders>
              <w:top w:val="nil"/>
              <w:left w:val="nil"/>
              <w:bottom w:val="single" w:color="auto" w:sz="4" w:space="0"/>
              <w:right w:val="single" w:color="auto" w:sz="4" w:space="0"/>
            </w:tcBorders>
            <w:noWrap w:val="0"/>
            <w:vAlign w:val="center"/>
          </w:tcPr>
          <w:p w14:paraId="0EE7D87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6" w:type="dxa"/>
            <w:tcBorders>
              <w:top w:val="nil"/>
              <w:left w:val="nil"/>
              <w:bottom w:val="single" w:color="auto" w:sz="4" w:space="0"/>
              <w:right w:val="single" w:color="auto" w:sz="4" w:space="0"/>
            </w:tcBorders>
            <w:noWrap w:val="0"/>
            <w:vAlign w:val="center"/>
          </w:tcPr>
          <w:p w14:paraId="2BAFD9A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2AD29B7E">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C2FEA7D">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89" w:type="dxa"/>
            <w:tcBorders>
              <w:top w:val="nil"/>
              <w:left w:val="nil"/>
              <w:bottom w:val="single" w:color="auto" w:sz="4" w:space="0"/>
              <w:right w:val="single" w:color="auto" w:sz="4" w:space="0"/>
            </w:tcBorders>
            <w:noWrap w:val="0"/>
            <w:vAlign w:val="center"/>
          </w:tcPr>
          <w:p w14:paraId="5D645ED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13BFD82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5283AF2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49" w:type="dxa"/>
            <w:tcBorders>
              <w:top w:val="nil"/>
              <w:left w:val="nil"/>
              <w:bottom w:val="single" w:color="auto" w:sz="4" w:space="0"/>
              <w:right w:val="single" w:color="auto" w:sz="4" w:space="0"/>
            </w:tcBorders>
            <w:noWrap w:val="0"/>
            <w:vAlign w:val="center"/>
          </w:tcPr>
          <w:p w14:paraId="5723692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6" w:type="dxa"/>
            <w:tcBorders>
              <w:top w:val="nil"/>
              <w:left w:val="nil"/>
              <w:bottom w:val="single" w:color="auto" w:sz="4" w:space="0"/>
              <w:right w:val="single" w:color="auto" w:sz="4" w:space="0"/>
            </w:tcBorders>
            <w:noWrap w:val="0"/>
            <w:vAlign w:val="center"/>
          </w:tcPr>
          <w:p w14:paraId="3620DEB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629CC42">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49AD2F9">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10CBF7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34E20EC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9715DB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49" w:type="dxa"/>
            <w:tcBorders>
              <w:top w:val="nil"/>
              <w:left w:val="nil"/>
              <w:bottom w:val="single" w:color="auto" w:sz="4" w:space="0"/>
              <w:right w:val="single" w:color="auto" w:sz="4" w:space="0"/>
            </w:tcBorders>
            <w:noWrap w:val="0"/>
            <w:vAlign w:val="center"/>
          </w:tcPr>
          <w:p w14:paraId="7DA0DFA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6" w:type="dxa"/>
            <w:tcBorders>
              <w:top w:val="nil"/>
              <w:left w:val="nil"/>
              <w:bottom w:val="single" w:color="auto" w:sz="4" w:space="0"/>
              <w:right w:val="single" w:color="auto" w:sz="4" w:space="0"/>
            </w:tcBorders>
            <w:noWrap w:val="0"/>
            <w:vAlign w:val="center"/>
          </w:tcPr>
          <w:p w14:paraId="1EB07A3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19B24DB">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FA002FB">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89" w:type="dxa"/>
            <w:tcBorders>
              <w:top w:val="nil"/>
              <w:left w:val="nil"/>
              <w:bottom w:val="single" w:color="auto" w:sz="4" w:space="0"/>
              <w:right w:val="single" w:color="auto" w:sz="4" w:space="0"/>
            </w:tcBorders>
            <w:noWrap w:val="0"/>
            <w:vAlign w:val="center"/>
          </w:tcPr>
          <w:p w14:paraId="356EAE1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60226F8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5AB37C9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49" w:type="dxa"/>
            <w:tcBorders>
              <w:top w:val="nil"/>
              <w:left w:val="nil"/>
              <w:bottom w:val="single" w:color="auto" w:sz="4" w:space="0"/>
              <w:right w:val="single" w:color="auto" w:sz="4" w:space="0"/>
            </w:tcBorders>
            <w:noWrap w:val="0"/>
            <w:vAlign w:val="center"/>
          </w:tcPr>
          <w:p w14:paraId="5155AD3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96" w:type="dxa"/>
            <w:tcBorders>
              <w:top w:val="nil"/>
              <w:left w:val="nil"/>
              <w:bottom w:val="single" w:color="auto" w:sz="4" w:space="0"/>
              <w:right w:val="single" w:color="auto" w:sz="4" w:space="0"/>
            </w:tcBorders>
            <w:noWrap w:val="0"/>
            <w:vAlign w:val="center"/>
          </w:tcPr>
          <w:p w14:paraId="4047FA6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1F580A6">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BA496FF">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AB95D4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3A1ADD5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15F336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168D601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6" w:type="dxa"/>
            <w:tcBorders>
              <w:top w:val="nil"/>
              <w:left w:val="nil"/>
              <w:bottom w:val="single" w:color="auto" w:sz="4" w:space="0"/>
              <w:right w:val="single" w:color="auto" w:sz="4" w:space="0"/>
            </w:tcBorders>
            <w:noWrap w:val="0"/>
            <w:vAlign w:val="center"/>
          </w:tcPr>
          <w:p w14:paraId="647CD95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5A6C1F6">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074624C">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489" w:type="dxa"/>
            <w:tcBorders>
              <w:top w:val="nil"/>
              <w:left w:val="nil"/>
              <w:bottom w:val="single" w:color="auto" w:sz="4" w:space="0"/>
              <w:right w:val="single" w:color="auto" w:sz="4" w:space="0"/>
            </w:tcBorders>
            <w:noWrap w:val="0"/>
            <w:vAlign w:val="center"/>
          </w:tcPr>
          <w:p w14:paraId="073F1C7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5BF675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258003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36A9C39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1020051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AA86DC4">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410CD46">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1C3B7B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4A8AD4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EE60CB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49" w:type="dxa"/>
            <w:tcBorders>
              <w:top w:val="nil"/>
              <w:left w:val="nil"/>
              <w:bottom w:val="single" w:color="auto" w:sz="4" w:space="0"/>
              <w:right w:val="single" w:color="auto" w:sz="4" w:space="0"/>
            </w:tcBorders>
            <w:noWrap w:val="0"/>
            <w:vAlign w:val="center"/>
          </w:tcPr>
          <w:p w14:paraId="14074C8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6" w:type="dxa"/>
            <w:tcBorders>
              <w:top w:val="nil"/>
              <w:left w:val="nil"/>
              <w:bottom w:val="single" w:color="auto" w:sz="4" w:space="0"/>
              <w:right w:val="single" w:color="auto" w:sz="4" w:space="0"/>
            </w:tcBorders>
            <w:noWrap w:val="0"/>
            <w:vAlign w:val="center"/>
          </w:tcPr>
          <w:p w14:paraId="0FF55D7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4F975D8">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F02D405">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89" w:type="dxa"/>
            <w:tcBorders>
              <w:top w:val="nil"/>
              <w:left w:val="nil"/>
              <w:bottom w:val="single" w:color="auto" w:sz="4" w:space="0"/>
              <w:right w:val="single" w:color="auto" w:sz="4" w:space="0"/>
            </w:tcBorders>
            <w:noWrap w:val="0"/>
            <w:vAlign w:val="center"/>
          </w:tcPr>
          <w:p w14:paraId="58C982B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5DA183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82308E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49" w:type="dxa"/>
            <w:tcBorders>
              <w:top w:val="nil"/>
              <w:left w:val="nil"/>
              <w:bottom w:val="single" w:color="auto" w:sz="4" w:space="0"/>
              <w:right w:val="single" w:color="auto" w:sz="4" w:space="0"/>
            </w:tcBorders>
            <w:noWrap w:val="0"/>
            <w:vAlign w:val="center"/>
          </w:tcPr>
          <w:p w14:paraId="3E9386C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6" w:type="dxa"/>
            <w:tcBorders>
              <w:top w:val="nil"/>
              <w:left w:val="nil"/>
              <w:bottom w:val="single" w:color="auto" w:sz="4" w:space="0"/>
              <w:right w:val="single" w:color="auto" w:sz="4" w:space="0"/>
            </w:tcBorders>
            <w:noWrap w:val="0"/>
            <w:vAlign w:val="center"/>
          </w:tcPr>
          <w:p w14:paraId="2B92581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B396B7C">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22A41AF">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E364DE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A71AC4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E9318D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49" w:type="dxa"/>
            <w:tcBorders>
              <w:top w:val="nil"/>
              <w:left w:val="nil"/>
              <w:bottom w:val="single" w:color="auto" w:sz="4" w:space="0"/>
              <w:right w:val="single" w:color="auto" w:sz="4" w:space="0"/>
            </w:tcBorders>
            <w:noWrap w:val="0"/>
            <w:vAlign w:val="center"/>
          </w:tcPr>
          <w:p w14:paraId="13D77A0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3D571C8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02D6FB9">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0F17930">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89" w:type="dxa"/>
            <w:tcBorders>
              <w:top w:val="nil"/>
              <w:left w:val="nil"/>
              <w:bottom w:val="single" w:color="auto" w:sz="4" w:space="0"/>
              <w:right w:val="single" w:color="auto" w:sz="4" w:space="0"/>
            </w:tcBorders>
            <w:noWrap w:val="0"/>
            <w:vAlign w:val="center"/>
          </w:tcPr>
          <w:p w14:paraId="5E524AD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71463F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9EA175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6E52F44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5354B27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F030A7D">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B46B83C">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4FC043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D5B427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A5D834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49" w:type="dxa"/>
            <w:tcBorders>
              <w:top w:val="nil"/>
              <w:left w:val="nil"/>
              <w:bottom w:val="single" w:color="auto" w:sz="4" w:space="0"/>
              <w:right w:val="single" w:color="auto" w:sz="4" w:space="0"/>
            </w:tcBorders>
            <w:noWrap w:val="0"/>
            <w:vAlign w:val="center"/>
          </w:tcPr>
          <w:p w14:paraId="2185471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039D33C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9879F0B">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C3B5086">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89" w:type="dxa"/>
            <w:tcBorders>
              <w:top w:val="nil"/>
              <w:left w:val="nil"/>
              <w:bottom w:val="single" w:color="auto" w:sz="4" w:space="0"/>
              <w:right w:val="single" w:color="auto" w:sz="4" w:space="0"/>
            </w:tcBorders>
            <w:noWrap w:val="0"/>
            <w:vAlign w:val="center"/>
          </w:tcPr>
          <w:p w14:paraId="5EA8B49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614329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A70CB3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6F205FB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1F6B9B9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9B3C112">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97FDAEB">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8F9FE9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77AC996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B1E9D2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28DD83D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4A5C265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9652C42">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F6489A9">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89" w:type="dxa"/>
            <w:tcBorders>
              <w:top w:val="nil"/>
              <w:left w:val="nil"/>
              <w:bottom w:val="single" w:color="auto" w:sz="4" w:space="0"/>
              <w:right w:val="single" w:color="auto" w:sz="4" w:space="0"/>
            </w:tcBorders>
            <w:noWrap w:val="0"/>
            <w:vAlign w:val="center"/>
          </w:tcPr>
          <w:p w14:paraId="0D3D821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3DFAFF0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602CF3D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11667D8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36935C0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BDB7BB1">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6DDFF6E">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6017ED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A9928D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77A531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6439044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698AC97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446B21">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30036FC">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489" w:type="dxa"/>
            <w:tcBorders>
              <w:top w:val="nil"/>
              <w:left w:val="nil"/>
              <w:bottom w:val="single" w:color="auto" w:sz="4" w:space="0"/>
              <w:right w:val="single" w:color="auto" w:sz="4" w:space="0"/>
            </w:tcBorders>
            <w:noWrap w:val="0"/>
            <w:vAlign w:val="center"/>
          </w:tcPr>
          <w:p w14:paraId="5B1CAF0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6343A91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3BE6E9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49" w:type="dxa"/>
            <w:tcBorders>
              <w:top w:val="nil"/>
              <w:left w:val="nil"/>
              <w:bottom w:val="single" w:color="auto" w:sz="4" w:space="0"/>
              <w:right w:val="single" w:color="auto" w:sz="4" w:space="0"/>
            </w:tcBorders>
            <w:noWrap w:val="0"/>
            <w:vAlign w:val="center"/>
          </w:tcPr>
          <w:p w14:paraId="4240460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6B4681E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E6ECCA1">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C0936CB">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40702D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97E7BD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A49729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49" w:type="dxa"/>
            <w:tcBorders>
              <w:top w:val="nil"/>
              <w:left w:val="nil"/>
              <w:bottom w:val="single" w:color="auto" w:sz="4" w:space="0"/>
              <w:right w:val="single" w:color="auto" w:sz="4" w:space="0"/>
            </w:tcBorders>
            <w:noWrap w:val="0"/>
            <w:vAlign w:val="center"/>
          </w:tcPr>
          <w:p w14:paraId="15AC430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08A46C2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5FC4C75">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3BEC532">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0"/>
            <w:vAlign w:val="center"/>
          </w:tcPr>
          <w:p w14:paraId="748E166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A96C3C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CBE6B5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139DDA1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04247D5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F0B6EEB">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15E6145">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FC88F7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2A9457A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FD7EF4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49" w:type="dxa"/>
            <w:tcBorders>
              <w:top w:val="nil"/>
              <w:left w:val="nil"/>
              <w:bottom w:val="single" w:color="auto" w:sz="4" w:space="0"/>
              <w:right w:val="single" w:color="auto" w:sz="4" w:space="0"/>
            </w:tcBorders>
            <w:noWrap w:val="0"/>
            <w:vAlign w:val="center"/>
          </w:tcPr>
          <w:p w14:paraId="0BB7F3C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6" w:type="dxa"/>
            <w:tcBorders>
              <w:top w:val="nil"/>
              <w:left w:val="nil"/>
              <w:bottom w:val="single" w:color="auto" w:sz="4" w:space="0"/>
              <w:right w:val="single" w:color="auto" w:sz="4" w:space="0"/>
            </w:tcBorders>
            <w:noWrap w:val="0"/>
            <w:vAlign w:val="center"/>
          </w:tcPr>
          <w:p w14:paraId="36A85B2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3B0E8E0">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C174B69">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89" w:type="dxa"/>
            <w:tcBorders>
              <w:top w:val="nil"/>
              <w:left w:val="nil"/>
              <w:bottom w:val="single" w:color="auto" w:sz="4" w:space="0"/>
              <w:right w:val="single" w:color="auto" w:sz="4" w:space="0"/>
            </w:tcBorders>
            <w:noWrap w:val="0"/>
            <w:vAlign w:val="center"/>
          </w:tcPr>
          <w:p w14:paraId="584C6CA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2259078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C48608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49" w:type="dxa"/>
            <w:tcBorders>
              <w:top w:val="nil"/>
              <w:left w:val="nil"/>
              <w:bottom w:val="single" w:color="auto" w:sz="4" w:space="0"/>
              <w:right w:val="single" w:color="auto" w:sz="4" w:space="0"/>
            </w:tcBorders>
            <w:noWrap w:val="0"/>
            <w:vAlign w:val="center"/>
          </w:tcPr>
          <w:p w14:paraId="604A85D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96" w:type="dxa"/>
            <w:tcBorders>
              <w:top w:val="nil"/>
              <w:left w:val="nil"/>
              <w:bottom w:val="single" w:color="auto" w:sz="4" w:space="0"/>
              <w:right w:val="single" w:color="auto" w:sz="4" w:space="0"/>
            </w:tcBorders>
            <w:noWrap w:val="0"/>
            <w:vAlign w:val="center"/>
          </w:tcPr>
          <w:p w14:paraId="1BD1441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CB46081">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721E81D">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7CD6006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6CE8FC2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9EF0FF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49" w:type="dxa"/>
            <w:tcBorders>
              <w:top w:val="nil"/>
              <w:left w:val="nil"/>
              <w:bottom w:val="single" w:color="auto" w:sz="4" w:space="0"/>
              <w:right w:val="single" w:color="auto" w:sz="4" w:space="0"/>
            </w:tcBorders>
            <w:noWrap w:val="0"/>
            <w:vAlign w:val="center"/>
          </w:tcPr>
          <w:p w14:paraId="03C05E8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96" w:type="dxa"/>
            <w:tcBorders>
              <w:top w:val="nil"/>
              <w:left w:val="nil"/>
              <w:bottom w:val="single" w:color="auto" w:sz="4" w:space="0"/>
              <w:right w:val="single" w:color="auto" w:sz="4" w:space="0"/>
            </w:tcBorders>
            <w:noWrap w:val="0"/>
            <w:vAlign w:val="center"/>
          </w:tcPr>
          <w:p w14:paraId="0FD8AA3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27767256">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EC65AD6">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89" w:type="dxa"/>
            <w:tcBorders>
              <w:top w:val="nil"/>
              <w:left w:val="nil"/>
              <w:bottom w:val="single" w:color="auto" w:sz="4" w:space="0"/>
              <w:right w:val="single" w:color="auto" w:sz="4" w:space="0"/>
            </w:tcBorders>
            <w:noWrap w:val="0"/>
            <w:vAlign w:val="center"/>
          </w:tcPr>
          <w:p w14:paraId="2436610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31AC3FA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28A490C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7C6498B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6" w:type="dxa"/>
            <w:tcBorders>
              <w:top w:val="nil"/>
              <w:left w:val="nil"/>
              <w:bottom w:val="single" w:color="auto" w:sz="4" w:space="0"/>
              <w:right w:val="single" w:color="auto" w:sz="4" w:space="0"/>
            </w:tcBorders>
            <w:noWrap w:val="0"/>
            <w:vAlign w:val="center"/>
          </w:tcPr>
          <w:p w14:paraId="0B63F69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BDE95EB">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5079FF6">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D5EDF6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2B3E6C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3CB2AF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49" w:type="dxa"/>
            <w:tcBorders>
              <w:top w:val="nil"/>
              <w:left w:val="nil"/>
              <w:bottom w:val="single" w:color="auto" w:sz="4" w:space="0"/>
              <w:right w:val="single" w:color="auto" w:sz="4" w:space="0"/>
            </w:tcBorders>
            <w:noWrap w:val="0"/>
            <w:vAlign w:val="center"/>
          </w:tcPr>
          <w:p w14:paraId="2BB724B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6" w:type="dxa"/>
            <w:tcBorders>
              <w:top w:val="nil"/>
              <w:left w:val="nil"/>
              <w:bottom w:val="single" w:color="auto" w:sz="4" w:space="0"/>
              <w:right w:val="single" w:color="auto" w:sz="4" w:space="0"/>
            </w:tcBorders>
            <w:noWrap w:val="0"/>
            <w:vAlign w:val="center"/>
          </w:tcPr>
          <w:p w14:paraId="0EB5DE6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F2237D3">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1B1DFBC1">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89" w:type="dxa"/>
            <w:tcBorders>
              <w:top w:val="nil"/>
              <w:left w:val="nil"/>
              <w:bottom w:val="single" w:color="auto" w:sz="4" w:space="0"/>
              <w:right w:val="single" w:color="auto" w:sz="4" w:space="0"/>
            </w:tcBorders>
            <w:noWrap w:val="0"/>
            <w:vAlign w:val="center"/>
          </w:tcPr>
          <w:p w14:paraId="2C28595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6638EEC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95A81E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4938712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007F9D8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D4950C">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9BD67EE">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68DE299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2E0604B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BB3E87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49" w:type="dxa"/>
            <w:tcBorders>
              <w:top w:val="nil"/>
              <w:left w:val="nil"/>
              <w:bottom w:val="single" w:color="auto" w:sz="4" w:space="0"/>
              <w:right w:val="single" w:color="auto" w:sz="4" w:space="0"/>
            </w:tcBorders>
            <w:noWrap w:val="0"/>
            <w:vAlign w:val="center"/>
          </w:tcPr>
          <w:p w14:paraId="6B8E35B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6" w:type="dxa"/>
            <w:tcBorders>
              <w:top w:val="nil"/>
              <w:left w:val="nil"/>
              <w:bottom w:val="single" w:color="auto" w:sz="4" w:space="0"/>
              <w:right w:val="single" w:color="auto" w:sz="4" w:space="0"/>
            </w:tcBorders>
            <w:noWrap w:val="0"/>
            <w:vAlign w:val="center"/>
          </w:tcPr>
          <w:p w14:paraId="49708E6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2A5E9CE">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705C4ECF">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noWrap w:val="0"/>
            <w:vAlign w:val="center"/>
          </w:tcPr>
          <w:p w14:paraId="24C23F0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505F90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961168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1940DCA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6A0329E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7CE3F906">
      <w:pPr>
        <w:pStyle w:val="10"/>
        <w:shd w:val="clear"/>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BF2049F">
      <w:pPr>
        <w:shd w:val="clear"/>
        <w:snapToGrid/>
        <w:spacing w:line="240" w:lineRule="auto"/>
        <w:ind w:firstLine="0" w:firstLineChars="0"/>
        <w:jc w:val="left"/>
        <w:rPr>
          <w:rFonts w:hint="eastAsia" w:ascii="宋体"/>
          <w:color w:val="auto"/>
          <w:sz w:val="21"/>
          <w:szCs w:val="21"/>
          <w:highlight w:val="none"/>
        </w:rPr>
      </w:pPr>
      <w:r>
        <w:rPr>
          <w:rFonts w:hint="eastAsia" w:ascii="宋体" w:hAnsi="宋体"/>
          <w:b/>
          <w:color w:val="auto"/>
          <w:szCs w:val="21"/>
          <w:highlight w:val="none"/>
        </w:rPr>
        <w:br w:type="page"/>
      </w:r>
    </w:p>
    <w:p w14:paraId="7950D48C">
      <w:pPr>
        <w:pStyle w:val="2"/>
        <w:shd w:val="clear"/>
        <w:rPr>
          <w:rFonts w:hint="eastAsia"/>
          <w:color w:val="auto"/>
          <w:highlight w:val="none"/>
        </w:rPr>
      </w:pPr>
    </w:p>
    <w:p w14:paraId="28E6C263">
      <w:pPr>
        <w:shd w:val="clear"/>
        <w:snapToGrid w:val="0"/>
        <w:spacing w:before="156" w:beforeLines="50" w:after="50" w:line="400" w:lineRule="exact"/>
        <w:jc w:val="center"/>
        <w:rPr>
          <w:rFonts w:hint="eastAsia" w:ascii="宋体" w:hAnsi="宋体"/>
          <w:b/>
          <w:color w:val="auto"/>
          <w:kern w:val="0"/>
          <w:sz w:val="32"/>
          <w:szCs w:val="32"/>
          <w:highlight w:val="none"/>
        </w:rPr>
      </w:pPr>
    </w:p>
    <w:p w14:paraId="68B32262">
      <w:pPr>
        <w:shd w:val="clear"/>
        <w:spacing w:line="400" w:lineRule="exact"/>
        <w:ind w:left="420" w:hanging="420"/>
        <w:jc w:val="center"/>
        <w:rPr>
          <w:rFonts w:hint="eastAsia" w:ascii="宋体" w:hAnsi="宋体"/>
          <w:b/>
          <w:color w:val="auto"/>
          <w:kern w:val="0"/>
          <w:sz w:val="32"/>
          <w:szCs w:val="32"/>
          <w:highlight w:val="none"/>
        </w:rPr>
      </w:pPr>
    </w:p>
    <w:p w14:paraId="1FD3642E">
      <w:pPr>
        <w:shd w:val="clear"/>
        <w:spacing w:line="400" w:lineRule="exact"/>
        <w:ind w:left="420" w:hanging="420"/>
        <w:jc w:val="center"/>
        <w:rPr>
          <w:rFonts w:hint="eastAsia" w:ascii="宋体" w:hAnsi="宋体"/>
          <w:b/>
          <w:color w:val="auto"/>
          <w:kern w:val="0"/>
          <w:sz w:val="32"/>
          <w:szCs w:val="32"/>
          <w:highlight w:val="none"/>
        </w:rPr>
      </w:pPr>
    </w:p>
    <w:p w14:paraId="58EA754E">
      <w:pPr>
        <w:shd w:val="clear"/>
        <w:spacing w:line="400" w:lineRule="exact"/>
        <w:ind w:left="420" w:hanging="420"/>
        <w:jc w:val="center"/>
        <w:rPr>
          <w:rFonts w:hint="eastAsia" w:ascii="宋体" w:hAnsi="宋体"/>
          <w:b/>
          <w:color w:val="auto"/>
          <w:kern w:val="0"/>
          <w:sz w:val="32"/>
          <w:szCs w:val="32"/>
          <w:highlight w:val="none"/>
        </w:rPr>
      </w:pPr>
    </w:p>
    <w:p w14:paraId="5B5A1620">
      <w:pPr>
        <w:shd w:val="clear"/>
        <w:spacing w:line="400" w:lineRule="exact"/>
        <w:ind w:left="420" w:hanging="420"/>
        <w:jc w:val="center"/>
        <w:rPr>
          <w:rFonts w:hint="eastAsia" w:ascii="宋体" w:hAnsi="宋体"/>
          <w:b/>
          <w:color w:val="auto"/>
          <w:kern w:val="0"/>
          <w:sz w:val="32"/>
          <w:szCs w:val="32"/>
          <w:highlight w:val="none"/>
        </w:rPr>
      </w:pPr>
    </w:p>
    <w:p w14:paraId="4A905D51">
      <w:pPr>
        <w:shd w:val="clear"/>
        <w:spacing w:line="400" w:lineRule="exact"/>
        <w:ind w:left="420" w:hanging="420"/>
        <w:jc w:val="center"/>
        <w:rPr>
          <w:rFonts w:hint="eastAsia" w:ascii="宋体" w:hAnsi="宋体"/>
          <w:b/>
          <w:color w:val="auto"/>
          <w:kern w:val="0"/>
          <w:sz w:val="32"/>
          <w:szCs w:val="32"/>
          <w:highlight w:val="none"/>
        </w:rPr>
      </w:pPr>
    </w:p>
    <w:p w14:paraId="1DF50F50">
      <w:pPr>
        <w:shd w:val="clear"/>
        <w:spacing w:line="400" w:lineRule="exact"/>
        <w:ind w:left="420" w:hanging="420"/>
        <w:jc w:val="center"/>
        <w:rPr>
          <w:rFonts w:hint="eastAsia" w:ascii="宋体" w:hAnsi="宋体"/>
          <w:b/>
          <w:color w:val="auto"/>
          <w:kern w:val="0"/>
          <w:sz w:val="32"/>
          <w:szCs w:val="32"/>
          <w:highlight w:val="none"/>
        </w:rPr>
      </w:pPr>
    </w:p>
    <w:p w14:paraId="4BD7BC1A">
      <w:pPr>
        <w:shd w:val="clear"/>
        <w:spacing w:line="400" w:lineRule="exact"/>
        <w:ind w:left="420" w:hanging="420"/>
        <w:jc w:val="center"/>
        <w:rPr>
          <w:rFonts w:hint="eastAsia" w:ascii="宋体" w:hAnsi="宋体"/>
          <w:b/>
          <w:color w:val="auto"/>
          <w:kern w:val="0"/>
          <w:sz w:val="32"/>
          <w:szCs w:val="32"/>
          <w:highlight w:val="none"/>
        </w:rPr>
      </w:pPr>
    </w:p>
    <w:p w14:paraId="5BE9CC55">
      <w:pPr>
        <w:shd w:val="clear"/>
        <w:spacing w:line="400" w:lineRule="exact"/>
        <w:ind w:left="420" w:hanging="420"/>
        <w:jc w:val="center"/>
        <w:rPr>
          <w:rFonts w:hint="eastAsia" w:ascii="宋体" w:hAnsi="宋体"/>
          <w:b/>
          <w:color w:val="auto"/>
          <w:kern w:val="0"/>
          <w:sz w:val="32"/>
          <w:szCs w:val="32"/>
          <w:highlight w:val="none"/>
        </w:rPr>
      </w:pPr>
    </w:p>
    <w:p w14:paraId="1FB85965">
      <w:pPr>
        <w:shd w:val="clear"/>
        <w:spacing w:line="400" w:lineRule="exact"/>
        <w:ind w:left="420" w:hanging="420"/>
        <w:jc w:val="center"/>
        <w:rPr>
          <w:rFonts w:hint="eastAsia" w:ascii="宋体" w:hAnsi="宋体"/>
          <w:b/>
          <w:color w:val="auto"/>
          <w:kern w:val="0"/>
          <w:sz w:val="32"/>
          <w:szCs w:val="32"/>
          <w:highlight w:val="none"/>
        </w:rPr>
      </w:pPr>
    </w:p>
    <w:p w14:paraId="144D2A8B">
      <w:pPr>
        <w:shd w:val="clear"/>
        <w:spacing w:line="400" w:lineRule="exact"/>
        <w:ind w:left="420" w:hanging="420"/>
        <w:jc w:val="center"/>
        <w:rPr>
          <w:rFonts w:hint="eastAsia" w:ascii="宋体" w:hAnsi="宋体"/>
          <w:b/>
          <w:color w:val="auto"/>
          <w:kern w:val="0"/>
          <w:sz w:val="32"/>
          <w:szCs w:val="32"/>
          <w:highlight w:val="none"/>
        </w:rPr>
      </w:pPr>
    </w:p>
    <w:p w14:paraId="1D9D9AFB">
      <w:pPr>
        <w:shd w:val="clear"/>
        <w:spacing w:line="400" w:lineRule="exact"/>
        <w:rPr>
          <w:rFonts w:hint="eastAsia" w:ascii="宋体" w:hAnsi="宋体"/>
          <w:b/>
          <w:color w:val="auto"/>
          <w:kern w:val="0"/>
          <w:sz w:val="32"/>
          <w:szCs w:val="32"/>
          <w:highlight w:val="none"/>
        </w:rPr>
      </w:pPr>
    </w:p>
    <w:p w14:paraId="6364DCA3">
      <w:pPr>
        <w:pStyle w:val="15"/>
        <w:shd w:val="clear"/>
        <w:rPr>
          <w:rFonts w:hint="eastAsia"/>
          <w:color w:val="auto"/>
          <w:kern w:val="0"/>
          <w:sz w:val="44"/>
          <w:szCs w:val="44"/>
          <w:highlight w:val="none"/>
        </w:rPr>
      </w:pPr>
      <w:bookmarkStart w:id="87" w:name="_Toc476258672"/>
      <w:bookmarkStart w:id="88" w:name="_Toc476258760"/>
      <w:r>
        <w:rPr>
          <w:rFonts w:hint="eastAsia"/>
          <w:color w:val="auto"/>
          <w:kern w:val="0"/>
          <w:sz w:val="44"/>
          <w:szCs w:val="44"/>
          <w:highlight w:val="none"/>
        </w:rPr>
        <w:t>第五章  合同主要条款</w:t>
      </w:r>
      <w:bookmarkEnd w:id="87"/>
      <w:bookmarkEnd w:id="88"/>
    </w:p>
    <w:p w14:paraId="3DAF83C8">
      <w:pPr>
        <w:shd w:val="clear"/>
        <w:jc w:val="left"/>
        <w:rPr>
          <w:rFonts w:hint="eastAsia" w:ascii="宋体" w:hAnsi="宋体" w:cs="@方正仿宋简体"/>
          <w:color w:val="auto"/>
          <w:kern w:val="0"/>
          <w:szCs w:val="21"/>
          <w:highlight w:val="none"/>
        </w:rPr>
      </w:pPr>
    </w:p>
    <w:p w14:paraId="7C8F834A">
      <w:pPr>
        <w:shd w:val="clear"/>
        <w:spacing w:line="360" w:lineRule="auto"/>
        <w:ind w:firstLine="420" w:firstLineChars="200"/>
        <w:rPr>
          <w:rFonts w:ascii="宋体" w:hAnsi="宋体" w:eastAsia="宋体" w:cs="Times New Roman"/>
          <w:color w:val="auto"/>
          <w:sz w:val="24"/>
          <w:szCs w:val="24"/>
          <w:highlight w:val="none"/>
        </w:rPr>
      </w:pPr>
      <w:r>
        <w:rPr>
          <w:rFonts w:ascii="宋体" w:hAnsi="宋体" w:cs="@方正仿宋简体"/>
          <w:color w:val="auto"/>
          <w:kern w:val="0"/>
          <w:szCs w:val="21"/>
          <w:highlight w:val="none"/>
        </w:rPr>
        <w:br w:type="page"/>
      </w:r>
    </w:p>
    <w:p w14:paraId="1FC95310">
      <w:pPr>
        <w:keepNext w:val="0"/>
        <w:keepLines w:val="0"/>
        <w:pageBreakBefore w:val="0"/>
        <w:widowControl w:val="0"/>
        <w:shd w:val="clear" w:color="auto"/>
        <w:kinsoku/>
        <w:wordWrap/>
        <w:overflowPunct/>
        <w:topLinePunct w:val="0"/>
        <w:autoSpaceDE/>
        <w:autoSpaceDN/>
        <w:bidi w:val="0"/>
        <w:adjustRightInd/>
        <w:snapToGrid/>
        <w:spacing w:before="157" w:beforeLines="50" w:after="157" w:afterLines="50"/>
        <w:ind w:left="0" w:leftChars="0" w:firstLine="0" w:firstLineChars="0"/>
        <w:jc w:val="center"/>
        <w:textAlignment w:val="auto"/>
        <w:rPr>
          <w:rFonts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第一部分　协议书</w:t>
      </w:r>
    </w:p>
    <w:p w14:paraId="6F9CFC65">
      <w:pPr>
        <w:widowControl/>
        <w:shd w:val="clear" w:color="auto"/>
        <w:spacing w:line="400" w:lineRule="exact"/>
        <w:ind w:left="420" w:leftChars="200"/>
        <w:jc w:val="left"/>
        <w:rPr>
          <w:rFonts w:hint="eastAsia" w:ascii="宋体" w:hAnsi="宋体" w:eastAsia="宋体" w:cs="宋体"/>
          <w:color w:val="auto"/>
          <w:kern w:val="0"/>
          <w:sz w:val="21"/>
          <w:szCs w:val="21"/>
          <w:highlight w:val="none"/>
          <w:u w:val="single"/>
          <w:lang w:val="en-US" w:eastAsia="zh-CN" w:bidi="ar-SA"/>
        </w:rPr>
      </w:pPr>
      <w:bookmarkStart w:id="89" w:name="7"/>
      <w:r>
        <w:rPr>
          <w:rFonts w:hint="eastAsia" w:ascii="宋体" w:hAnsi="宋体" w:eastAsia="宋体" w:cs="宋体"/>
          <w:color w:val="auto"/>
          <w:kern w:val="0"/>
          <w:sz w:val="21"/>
          <w:szCs w:val="21"/>
          <w:highlight w:val="none"/>
          <w:lang w:val="en-US" w:eastAsia="zh-CN" w:bidi="ar-SA"/>
        </w:rPr>
        <w:t>委托人（全称）：</w:t>
      </w:r>
      <w:r>
        <w:rPr>
          <w:rFonts w:hint="eastAsia" w:ascii="宋体" w:hAnsi="宋体" w:eastAsia="宋体" w:cs="宋体"/>
          <w:color w:val="auto"/>
          <w:kern w:val="0"/>
          <w:sz w:val="21"/>
          <w:szCs w:val="21"/>
          <w:highlight w:val="none"/>
          <w:u w:val="single"/>
          <w:lang w:val="en-US" w:eastAsia="zh-CN" w:bidi="ar-SA"/>
        </w:rPr>
        <w:t xml:space="preserve">  广西制造工程职业技术学院    </w:t>
      </w:r>
    </w:p>
    <w:p w14:paraId="51E4466C">
      <w:pPr>
        <w:widowControl/>
        <w:shd w:val="clear" w:color="auto"/>
        <w:spacing w:line="400" w:lineRule="exact"/>
        <w:ind w:left="420" w:left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咨询人（全称）：</w:t>
      </w:r>
      <w:r>
        <w:rPr>
          <w:rFonts w:hint="eastAsia" w:ascii="宋体" w:hAnsi="宋体" w:eastAsia="宋体" w:cs="宋体"/>
          <w:color w:val="auto"/>
          <w:kern w:val="0"/>
          <w:sz w:val="21"/>
          <w:szCs w:val="21"/>
          <w:highlight w:val="none"/>
          <w:u w:val="single"/>
          <w:lang w:val="en-US" w:eastAsia="zh-CN" w:bidi="ar-SA"/>
        </w:rPr>
        <w:t xml:space="preserve">                  </w:t>
      </w:r>
    </w:p>
    <w:p w14:paraId="652CB873">
      <w:pPr>
        <w:widowControl/>
        <w:shd w:val="clear" w:color="auto"/>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根据《</w:t>
      </w:r>
      <w:r>
        <w:rPr>
          <w:rFonts w:hint="eastAsia" w:ascii="宋体" w:hAnsi="宋体" w:eastAsia="宋体" w:cs="宋体"/>
          <w:color w:val="auto"/>
          <w:kern w:val="0"/>
          <w:sz w:val="21"/>
          <w:szCs w:val="21"/>
          <w:highlight w:val="none"/>
          <w:lang w:val="en-US" w:eastAsia="zh-CN" w:bidi="ar-SA"/>
        </w:rPr>
        <w:fldChar w:fldCharType="begin"/>
      </w:r>
      <w:r>
        <w:rPr>
          <w:rFonts w:hint="eastAsia" w:ascii="宋体" w:hAnsi="宋体" w:eastAsia="宋体" w:cs="宋体"/>
          <w:color w:val="auto"/>
          <w:kern w:val="0"/>
          <w:sz w:val="21"/>
          <w:szCs w:val="21"/>
          <w:highlight w:val="none"/>
          <w:lang w:val="en-US" w:eastAsia="zh-CN" w:bidi="ar-SA"/>
        </w:rPr>
        <w:instrText xml:space="preserve"> HYPERLINK "javascript:SLC(21651,0)" </w:instrText>
      </w:r>
      <w:r>
        <w:rPr>
          <w:rFonts w:hint="eastAsia" w:ascii="宋体" w:hAnsi="宋体" w:eastAsia="宋体" w:cs="宋体"/>
          <w:color w:val="auto"/>
          <w:kern w:val="0"/>
          <w:sz w:val="21"/>
          <w:szCs w:val="21"/>
          <w:highlight w:val="none"/>
          <w:lang w:val="en-US" w:eastAsia="zh-CN" w:bidi="ar-SA"/>
        </w:rPr>
        <w:fldChar w:fldCharType="separate"/>
      </w:r>
      <w:r>
        <w:rPr>
          <w:rFonts w:hint="eastAsia" w:ascii="宋体" w:hAnsi="宋体" w:eastAsia="宋体" w:cs="宋体"/>
          <w:color w:val="auto"/>
          <w:kern w:val="2"/>
          <w:sz w:val="21"/>
          <w:szCs w:val="21"/>
          <w:highlight w:val="none"/>
          <w:u w:val="none"/>
          <w:lang w:val="en-US" w:eastAsia="zh-CN" w:bidi="ar-SA"/>
        </w:rPr>
        <w:t>中华人民共和国民法典</w:t>
      </w:r>
      <w:r>
        <w:rPr>
          <w:rFonts w:hint="eastAsia" w:ascii="宋体" w:hAnsi="宋体" w:eastAsia="宋体" w:cs="宋体"/>
          <w:color w:val="auto"/>
          <w:kern w:val="0"/>
          <w:sz w:val="21"/>
          <w:szCs w:val="21"/>
          <w:highlight w:val="none"/>
          <w:lang w:val="en-US" w:eastAsia="zh-CN" w:bidi="ar-SA"/>
        </w:rPr>
        <w:fldChar w:fldCharType="end"/>
      </w:r>
      <w:r>
        <w:rPr>
          <w:rFonts w:hint="eastAsia" w:ascii="宋体" w:hAnsi="宋体" w:eastAsia="宋体" w:cs="宋体"/>
          <w:color w:val="auto"/>
          <w:kern w:val="0"/>
          <w:sz w:val="21"/>
          <w:szCs w:val="21"/>
          <w:highlight w:val="none"/>
          <w:lang w:val="en-US" w:eastAsia="zh-CN" w:bidi="ar-SA"/>
        </w:rPr>
        <w:t>》及其他有关法律、法规，遵循平等、自愿、公平和诚实信用的原则，两方就下述项目委托造价咨询与其他服务事项协商一致，订立本合同。</w:t>
      </w:r>
      <w:bookmarkStart w:id="90" w:name="_Toc422322471"/>
      <w:bookmarkStart w:id="91" w:name="_Toc419045056"/>
    </w:p>
    <w:p w14:paraId="75A3CFD0">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一、</w:t>
      </w:r>
      <w:r>
        <w:rPr>
          <w:rFonts w:hint="eastAsia" w:ascii="宋体" w:hAnsi="宋体" w:eastAsia="宋体" w:cs="宋体"/>
          <w:b/>
          <w:color w:val="auto"/>
          <w:kern w:val="0"/>
          <w:sz w:val="21"/>
          <w:szCs w:val="21"/>
          <w:highlight w:val="none"/>
        </w:rPr>
        <w:t>工程概况</w:t>
      </w:r>
      <w:bookmarkEnd w:id="90"/>
    </w:p>
    <w:p w14:paraId="41EE0234">
      <w:pPr>
        <w:numPr>
          <w:ilvl w:val="0"/>
          <w:numId w:val="0"/>
        </w:numPr>
        <w:shd w:val="clear" w:color="auto"/>
        <w:spacing w:line="400" w:lineRule="exact"/>
        <w:ind w:firstLine="420" w:firstLineChars="200"/>
        <w:rPr>
          <w:rFonts w:hint="eastAsia" w:ascii="宋体" w:hAnsi="宋体" w:eastAsia="宋体" w:cs="宋体"/>
          <w:color w:val="auto"/>
          <w:spacing w:val="-10"/>
          <w:sz w:val="21"/>
          <w:szCs w:val="21"/>
          <w:highlight w:val="none"/>
          <w:u w:val="single"/>
          <w:lang w:eastAsia="zh-CN"/>
        </w:rPr>
      </w:pPr>
      <w:r>
        <w:rPr>
          <w:rFonts w:hint="eastAsia" w:ascii="宋体" w:hAnsi="宋体" w:eastAsia="宋体" w:cs="宋体"/>
          <w:color w:val="auto"/>
          <w:sz w:val="21"/>
          <w:szCs w:val="21"/>
          <w:highlight w:val="none"/>
        </w:rPr>
        <w:t>1.工程名称：</w:t>
      </w:r>
      <w:r>
        <w:rPr>
          <w:rFonts w:hint="eastAsia" w:ascii="宋体" w:hAnsi="宋体" w:eastAsia="宋体" w:cs="宋体"/>
          <w:color w:val="auto"/>
          <w:spacing w:val="-10"/>
          <w:sz w:val="21"/>
          <w:szCs w:val="21"/>
          <w:highlight w:val="none"/>
          <w:u w:val="single"/>
          <w:lang w:eastAsia="zh-CN"/>
        </w:rPr>
        <w:t>广西制造工程职业技术学院40#、41#、42#学生宿舍楼项目全过程跟踪审计服务</w:t>
      </w:r>
      <w:r>
        <w:rPr>
          <w:rFonts w:hint="eastAsia" w:ascii="宋体" w:hAnsi="宋体" w:cs="宋体"/>
          <w:color w:val="auto"/>
          <w:spacing w:val="-10"/>
          <w:sz w:val="21"/>
          <w:szCs w:val="21"/>
          <w:highlight w:val="none"/>
          <w:u w:val="single"/>
          <w:lang w:eastAsia="zh-CN"/>
        </w:rPr>
        <w:t>（</w:t>
      </w:r>
      <w:r>
        <w:rPr>
          <w:color w:val="auto"/>
          <w:spacing w:val="2"/>
          <w:highlight w:val="none"/>
        </w:rPr>
        <w:t>施工过程造价咨询</w:t>
      </w:r>
      <w:r>
        <w:rPr>
          <w:rFonts w:hint="eastAsia"/>
          <w:color w:val="auto"/>
          <w:spacing w:val="2"/>
          <w:highlight w:val="none"/>
          <w:lang w:eastAsia="zh-CN"/>
        </w:rPr>
        <w:t>、</w:t>
      </w:r>
      <w:r>
        <w:rPr>
          <w:color w:val="auto"/>
          <w:spacing w:val="4"/>
          <w:highlight w:val="none"/>
        </w:rPr>
        <w:t>工</w:t>
      </w:r>
      <w:r>
        <w:rPr>
          <w:color w:val="auto"/>
          <w:spacing w:val="2"/>
          <w:highlight w:val="none"/>
        </w:rPr>
        <w:t>程竣工结算审核</w:t>
      </w:r>
      <w:r>
        <w:rPr>
          <w:rFonts w:hint="eastAsia" w:ascii="宋体" w:hAnsi="宋体" w:cs="宋体"/>
          <w:color w:val="auto"/>
          <w:spacing w:val="-10"/>
          <w:sz w:val="21"/>
          <w:szCs w:val="21"/>
          <w:highlight w:val="none"/>
          <w:u w:val="single"/>
          <w:lang w:eastAsia="zh-CN"/>
        </w:rPr>
        <w:t>）</w:t>
      </w:r>
      <w:r>
        <w:rPr>
          <w:rFonts w:hint="eastAsia" w:ascii="宋体" w:hAnsi="宋体" w:eastAsia="宋体" w:cs="宋体"/>
          <w:color w:val="auto"/>
          <w:spacing w:val="-10"/>
          <w:sz w:val="21"/>
          <w:szCs w:val="21"/>
          <w:highlight w:val="none"/>
          <w:u w:val="single"/>
          <w:lang w:eastAsia="zh-CN"/>
        </w:rPr>
        <w:t>采购</w:t>
      </w:r>
    </w:p>
    <w:p w14:paraId="498822B1">
      <w:pPr>
        <w:numPr>
          <w:ilvl w:val="0"/>
          <w:numId w:val="0"/>
        </w:numPr>
        <w:shd w:val="clear" w:color="auto"/>
        <w:spacing w:line="400" w:lineRule="exact"/>
        <w:ind w:firstLine="420" w:firstLineChars="200"/>
        <w:rPr>
          <w:rFonts w:hint="default" w:ascii="宋体" w:hAnsi="宋体" w:eastAsia="宋体" w:cs="宋体"/>
          <w:color w:val="auto"/>
          <w:spacing w:val="-10"/>
          <w:sz w:val="21"/>
          <w:szCs w:val="21"/>
          <w:highlight w:val="none"/>
          <w:u w:val="none"/>
          <w:lang w:val="en-US" w:eastAsia="zh-CN"/>
        </w:rPr>
      </w:pPr>
      <w:r>
        <w:rPr>
          <w:rFonts w:hint="eastAsia" w:ascii="宋体" w:hAnsi="宋体" w:eastAsia="宋体" w:cs="宋体"/>
          <w:color w:val="auto"/>
          <w:sz w:val="21"/>
          <w:szCs w:val="21"/>
          <w:highlight w:val="none"/>
        </w:rPr>
        <w:t>2.工程地点：</w:t>
      </w:r>
      <w:bookmarkEnd w:id="91"/>
      <w:r>
        <w:rPr>
          <w:rFonts w:hint="eastAsia" w:ascii="宋体" w:hAnsi="宋体" w:eastAsia="宋体" w:cs="宋体"/>
          <w:color w:val="auto"/>
          <w:spacing w:val="-10"/>
          <w:sz w:val="21"/>
          <w:szCs w:val="21"/>
          <w:highlight w:val="none"/>
          <w:u w:val="single"/>
          <w:lang w:val="en-US" w:eastAsia="zh-CN"/>
        </w:rPr>
        <w:t xml:space="preserve">       </w:t>
      </w:r>
      <w:r>
        <w:rPr>
          <w:rFonts w:hint="eastAsia" w:ascii="宋体" w:hAnsi="宋体" w:eastAsia="宋体" w:cs="宋体"/>
          <w:color w:val="auto"/>
          <w:spacing w:val="-10"/>
          <w:sz w:val="21"/>
          <w:szCs w:val="21"/>
          <w:highlight w:val="none"/>
          <w:u w:val="none"/>
          <w:lang w:val="en-US" w:eastAsia="zh-CN"/>
        </w:rPr>
        <w:t>。</w:t>
      </w:r>
    </w:p>
    <w:p w14:paraId="60EB07B7">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lang w:val="en-US" w:eastAsia="zh-CN" w:bidi="ar-SA"/>
        </w:rPr>
        <w:t>3.工程规模：</w:t>
      </w:r>
      <w:r>
        <w:rPr>
          <w:rFonts w:hint="eastAsia" w:ascii="宋体" w:hAnsi="宋体" w:eastAsia="宋体" w:cs="宋体"/>
          <w:color w:val="auto"/>
          <w:spacing w:val="-10"/>
          <w:kern w:val="2"/>
          <w:sz w:val="21"/>
          <w:szCs w:val="21"/>
          <w:highlight w:val="none"/>
          <w:u w:val="single"/>
          <w:lang w:val="en-US" w:eastAsia="zh-CN" w:bidi="ar-SA"/>
        </w:rPr>
        <w:t xml:space="preserve">       </w:t>
      </w:r>
      <w:r>
        <w:rPr>
          <w:rFonts w:hint="eastAsia" w:ascii="宋体" w:hAnsi="宋体" w:eastAsia="宋体" w:cs="宋体"/>
          <w:color w:val="auto"/>
          <w:spacing w:val="-10"/>
          <w:kern w:val="2"/>
          <w:sz w:val="21"/>
          <w:szCs w:val="21"/>
          <w:highlight w:val="none"/>
          <w:u w:val="none"/>
          <w:lang w:val="en-US" w:eastAsia="zh-CN" w:bidi="ar-SA"/>
        </w:rPr>
        <w:t>。</w:t>
      </w:r>
    </w:p>
    <w:p w14:paraId="32563D0C">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4.投资金额：</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none"/>
          <w:lang w:val="en-US" w:eastAsia="zh-CN" w:bidi="ar-SA"/>
        </w:rPr>
        <w:t>。</w:t>
      </w:r>
    </w:p>
    <w:p w14:paraId="3D8B4DE8">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5.资金来源：</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1C54C262">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6.其他：</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bookmarkEnd w:id="89"/>
    </w:p>
    <w:p w14:paraId="244D382D">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2"/>
          <w:sz w:val="21"/>
          <w:szCs w:val="21"/>
          <w:highlight w:val="none"/>
          <w:lang w:val="en-US" w:eastAsia="zh-CN" w:bidi="ar-SA"/>
        </w:rPr>
      </w:pPr>
      <w:bookmarkStart w:id="92" w:name="_Toc422322472"/>
      <w:bookmarkStart w:id="93" w:name="_Toc419045059"/>
      <w:r>
        <w:rPr>
          <w:rFonts w:hint="eastAsia" w:ascii="宋体" w:hAnsi="宋体" w:eastAsia="宋体" w:cs="宋体"/>
          <w:b/>
          <w:color w:val="auto"/>
          <w:kern w:val="2"/>
          <w:sz w:val="21"/>
          <w:szCs w:val="21"/>
          <w:highlight w:val="none"/>
          <w:lang w:val="en-US" w:eastAsia="zh-CN" w:bidi="ar-SA"/>
        </w:rPr>
        <w:t>二、服务范围及工作内容</w:t>
      </w:r>
      <w:bookmarkEnd w:id="92"/>
      <w:bookmarkEnd w:id="93"/>
    </w:p>
    <w:p w14:paraId="791E202A">
      <w:pPr>
        <w:numPr>
          <w:ilvl w:val="0"/>
          <w:numId w:val="0"/>
        </w:numPr>
        <w:shd w:val="clear" w:color="auto"/>
        <w:spacing w:line="400" w:lineRule="exact"/>
        <w:ind w:firstLine="420" w:firstLineChars="200"/>
        <w:rPr>
          <w:rFonts w:hint="default" w:ascii="宋体" w:hAnsi="宋体" w:eastAsia="宋体" w:cs="宋体"/>
          <w:color w:val="auto"/>
          <w:kern w:val="2"/>
          <w:sz w:val="21"/>
          <w:szCs w:val="21"/>
          <w:highlight w:val="none"/>
          <w:lang w:val="en-US"/>
        </w:rPr>
      </w:pPr>
      <w:r>
        <w:rPr>
          <w:rFonts w:hint="eastAsia" w:ascii="宋体" w:hAnsi="宋体" w:eastAsia="宋体" w:cs="宋体"/>
          <w:color w:val="auto"/>
          <w:sz w:val="21"/>
          <w:szCs w:val="21"/>
          <w:highlight w:val="none"/>
        </w:rPr>
        <w:t>约定的服务范围及工作内容：</w:t>
      </w:r>
      <w:bookmarkStart w:id="94" w:name="_Toc419045060"/>
      <w:bookmarkStart w:id="95" w:name="_Toc422322473"/>
      <w:bookmarkStart w:id="96" w:name="9"/>
      <w:r>
        <w:rPr>
          <w:rFonts w:hint="eastAsia" w:ascii="宋体" w:hAnsi="宋体" w:eastAsia="宋体" w:cs="宋体"/>
          <w:color w:val="auto"/>
          <w:kern w:val="0"/>
          <w:sz w:val="21"/>
          <w:szCs w:val="21"/>
          <w:highlight w:val="none"/>
          <w:u w:val="single"/>
          <w:lang w:val="en-US" w:eastAsia="zh-CN"/>
        </w:rPr>
        <w:t xml:space="preserve">                                    </w:t>
      </w:r>
    </w:p>
    <w:p w14:paraId="41B1E676">
      <w:pPr>
        <w:shd w:val="clear" w:color="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b/>
          <w:color w:val="auto"/>
          <w:kern w:val="2"/>
          <w:sz w:val="21"/>
          <w:szCs w:val="21"/>
          <w:highlight w:val="none"/>
        </w:rPr>
        <w:t>三、服务期限</w:t>
      </w:r>
      <w:bookmarkEnd w:id="94"/>
      <w:bookmarkEnd w:id="95"/>
    </w:p>
    <w:bookmarkEnd w:id="96"/>
    <w:p w14:paraId="278C5FBD">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lang w:val="en-US" w:eastAsia="zh-CN" w:bidi="ar-SA"/>
        </w:rPr>
        <w:t>本合同期限为从</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起</w:t>
      </w:r>
      <w:r>
        <w:rPr>
          <w:rFonts w:hint="eastAsia" w:ascii="宋体" w:hAnsi="宋体" w:eastAsia="宋体" w:cs="宋体"/>
          <w:color w:val="auto"/>
          <w:kern w:val="0"/>
          <w:sz w:val="21"/>
          <w:szCs w:val="21"/>
          <w:highlight w:val="none"/>
          <w:u w:val="none"/>
          <w:lang w:val="en-US" w:eastAsia="zh-CN" w:bidi="ar-SA"/>
        </w:rPr>
        <w:t>至</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none"/>
          <w:lang w:val="en-US" w:eastAsia="zh-CN" w:bidi="ar-SA"/>
        </w:rPr>
        <w:t>之日为止。</w:t>
      </w:r>
    </w:p>
    <w:p w14:paraId="494A1154">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2"/>
          <w:sz w:val="21"/>
          <w:szCs w:val="21"/>
          <w:highlight w:val="none"/>
          <w:lang w:val="en-US" w:eastAsia="zh-CN" w:bidi="ar-SA"/>
        </w:rPr>
      </w:pPr>
      <w:bookmarkStart w:id="97" w:name="_Toc422322474"/>
      <w:bookmarkStart w:id="98" w:name="_Toc419045061"/>
      <w:r>
        <w:rPr>
          <w:rFonts w:hint="eastAsia" w:ascii="宋体" w:hAnsi="宋体" w:eastAsia="宋体" w:cs="宋体"/>
          <w:b/>
          <w:color w:val="auto"/>
          <w:kern w:val="2"/>
          <w:sz w:val="21"/>
          <w:szCs w:val="21"/>
          <w:highlight w:val="none"/>
          <w:lang w:val="en-US" w:eastAsia="zh-CN" w:bidi="ar-SA"/>
        </w:rPr>
        <w:t>四、质量标准</w:t>
      </w:r>
      <w:bookmarkEnd w:id="97"/>
      <w:bookmarkEnd w:id="98"/>
    </w:p>
    <w:p w14:paraId="5C842801">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工程造价咨询成果文件应符合：</w:t>
      </w:r>
    </w:p>
    <w:p w14:paraId="75BD5E59">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val="0"/>
          <w:color w:val="auto"/>
          <w:kern w:val="0"/>
          <w:sz w:val="21"/>
          <w:szCs w:val="21"/>
          <w:highlight w:val="none"/>
          <w:u w:val="single"/>
          <w:lang w:val="en-US" w:eastAsia="zh-CN" w:bidi="ar-SA"/>
        </w:rPr>
      </w:pPr>
      <w:bookmarkStart w:id="99" w:name="_Toc419045062"/>
      <w:bookmarkStart w:id="100" w:name="_Toc422322475"/>
      <w:bookmarkStart w:id="101" w:name="12"/>
      <w:r>
        <w:rPr>
          <w:rFonts w:hint="eastAsia" w:ascii="宋体" w:hAnsi="宋体" w:eastAsia="宋体" w:cs="宋体"/>
          <w:b w:val="0"/>
          <w:color w:val="auto"/>
          <w:kern w:val="0"/>
          <w:sz w:val="21"/>
          <w:szCs w:val="21"/>
          <w:highlight w:val="none"/>
          <w:u w:val="single"/>
          <w:lang w:val="en-US" w:eastAsia="zh-CN" w:bidi="ar-SA"/>
        </w:rPr>
        <w:t xml:space="preserve"> 工程咨询行业管理办法等有关规定，误差范围要求不超过±3%。</w:t>
      </w:r>
    </w:p>
    <w:p w14:paraId="119DDFDA">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五、酬金或计取方式</w:t>
      </w:r>
      <w:bookmarkEnd w:id="99"/>
      <w:bookmarkEnd w:id="100"/>
    </w:p>
    <w:p w14:paraId="15322C3D">
      <w:pPr>
        <w:numPr>
          <w:ilvl w:val="0"/>
          <w:numId w:val="0"/>
        </w:numPr>
        <w:shd w:val="clear" w:color="auto"/>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付款方式及条件</w:t>
      </w:r>
    </w:p>
    <w:tbl>
      <w:tblPr>
        <w:tblStyle w:val="17"/>
        <w:tblW w:w="48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2"/>
        <w:gridCol w:w="2936"/>
        <w:gridCol w:w="2543"/>
        <w:gridCol w:w="2521"/>
      </w:tblGrid>
      <w:tr w14:paraId="28A20DFA">
        <w:trPr>
          <w:jc w:val="center"/>
        </w:trPr>
        <w:tc>
          <w:tcPr>
            <w:tcW w:w="8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F0D036">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付款期次</w:t>
            </w:r>
          </w:p>
        </w:tc>
        <w:tc>
          <w:tcPr>
            <w:tcW w:w="15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4686B0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付款条件</w:t>
            </w:r>
          </w:p>
        </w:tc>
        <w:tc>
          <w:tcPr>
            <w:tcW w:w="13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5CB71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lang w:eastAsia="zh-CN"/>
              </w:rPr>
              <w:t>进度</w:t>
            </w:r>
          </w:p>
        </w:tc>
        <w:tc>
          <w:tcPr>
            <w:tcW w:w="13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78D8B1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备注</w:t>
            </w:r>
          </w:p>
        </w:tc>
      </w:tr>
      <w:tr w14:paraId="4281D7DF">
        <w:trPr>
          <w:trHeight w:val="652" w:hRule="atLeast"/>
          <w:jc w:val="center"/>
        </w:trPr>
        <w:tc>
          <w:tcPr>
            <w:tcW w:w="8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10CB87">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预付款</w:t>
            </w:r>
          </w:p>
        </w:tc>
        <w:tc>
          <w:tcPr>
            <w:tcW w:w="15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C48D49">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合同签订后10个工作日内</w:t>
            </w:r>
          </w:p>
        </w:tc>
        <w:tc>
          <w:tcPr>
            <w:tcW w:w="13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10B6C5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default" w:ascii="Arial" w:hAnsi="Arial" w:cs="Arial"/>
                <w:color w:val="auto"/>
                <w:sz w:val="21"/>
                <w:szCs w:val="21"/>
                <w:highlight w:val="none"/>
                <w:lang w:val="en-US" w:eastAsia="zh-CN"/>
              </w:rPr>
              <w:t>¥</w:t>
            </w:r>
            <w:r>
              <w:rPr>
                <w:rFonts w:hint="eastAsia" w:ascii="宋体" w:hAnsi="宋体" w:cs="宋体"/>
                <w:color w:val="auto"/>
                <w:sz w:val="21"/>
                <w:szCs w:val="21"/>
                <w:highlight w:val="none"/>
                <w:lang w:val="en-US" w:eastAsia="zh-CN"/>
              </w:rPr>
              <w:t>40000.00元</w:t>
            </w:r>
          </w:p>
        </w:tc>
        <w:tc>
          <w:tcPr>
            <w:tcW w:w="13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4BDA49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p>
        </w:tc>
      </w:tr>
      <w:tr w14:paraId="1B66168B">
        <w:trPr>
          <w:jc w:val="center"/>
        </w:trPr>
        <w:tc>
          <w:tcPr>
            <w:tcW w:w="8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68BAAF">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结算审计</w:t>
            </w:r>
            <w:r>
              <w:rPr>
                <w:rFonts w:hint="eastAsia" w:ascii="宋体" w:hAnsi="宋体" w:cs="宋体"/>
                <w:color w:val="auto"/>
                <w:sz w:val="21"/>
                <w:szCs w:val="21"/>
                <w:highlight w:val="none"/>
                <w:lang w:val="en-US" w:eastAsia="zh-CN"/>
              </w:rPr>
              <w:t>完成</w:t>
            </w:r>
            <w:r>
              <w:rPr>
                <w:rFonts w:hint="eastAsia" w:ascii="宋体" w:hAnsi="宋体" w:eastAsia="宋体" w:cs="宋体"/>
                <w:color w:val="auto"/>
                <w:sz w:val="21"/>
                <w:szCs w:val="21"/>
                <w:highlight w:val="none"/>
                <w:lang w:eastAsia="zh-CN"/>
              </w:rPr>
              <w:t>前（不限支付次数）</w:t>
            </w:r>
          </w:p>
        </w:tc>
        <w:tc>
          <w:tcPr>
            <w:tcW w:w="15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352E86">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参考施工进度支付（以审核工程款支付进度为参考，最终以</w:t>
            </w:r>
            <w:r>
              <w:rPr>
                <w:rFonts w:hint="eastAsia" w:ascii="宋体" w:hAnsi="宋体" w:cs="宋体"/>
                <w:color w:val="auto"/>
                <w:sz w:val="21"/>
                <w:szCs w:val="21"/>
                <w:highlight w:val="none"/>
                <w:lang w:val="en-US" w:eastAsia="zh-CN"/>
              </w:rPr>
              <w:t>委托人</w:t>
            </w:r>
            <w:r>
              <w:rPr>
                <w:rFonts w:hint="eastAsia" w:ascii="宋体" w:hAnsi="宋体" w:eastAsia="宋体" w:cs="宋体"/>
                <w:color w:val="auto"/>
                <w:sz w:val="21"/>
                <w:szCs w:val="21"/>
                <w:highlight w:val="none"/>
                <w:lang w:eastAsia="zh-CN"/>
              </w:rPr>
              <w:t>确认为准）</w:t>
            </w:r>
          </w:p>
        </w:tc>
        <w:tc>
          <w:tcPr>
            <w:tcW w:w="13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77012D">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最高不超过</w:t>
            </w:r>
            <w:r>
              <w:rPr>
                <w:rFonts w:hint="eastAsia" w:ascii="宋体" w:hAnsi="宋体" w:cs="宋体"/>
                <w:color w:val="auto"/>
                <w:sz w:val="21"/>
                <w:szCs w:val="21"/>
                <w:highlight w:val="none"/>
                <w:lang w:val="en-US" w:eastAsia="zh-CN"/>
              </w:rPr>
              <w:t>项目总计费额的</w:t>
            </w:r>
            <w:r>
              <w:rPr>
                <w:rFonts w:hint="default" w:ascii="宋体" w:hAnsi="宋体" w:eastAsia="宋体" w:cs="宋体"/>
                <w:color w:val="auto"/>
                <w:sz w:val="21"/>
                <w:szCs w:val="21"/>
                <w:highlight w:val="none"/>
                <w:lang w:eastAsia="zh-CN"/>
              </w:rPr>
              <w:t>70%</w:t>
            </w:r>
          </w:p>
          <w:p w14:paraId="621FE922">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（含已支付的）</w:t>
            </w:r>
          </w:p>
        </w:tc>
        <w:tc>
          <w:tcPr>
            <w:tcW w:w="13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9292E5">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p>
        </w:tc>
      </w:tr>
      <w:tr w14:paraId="021EC92E">
        <w:trPr>
          <w:jc w:val="center"/>
        </w:trPr>
        <w:tc>
          <w:tcPr>
            <w:tcW w:w="847"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1A87B2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尾款</w:t>
            </w:r>
          </w:p>
        </w:tc>
        <w:tc>
          <w:tcPr>
            <w:tcW w:w="15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FA5EFC">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审计机构出具正式咨询成果并提供正式版结算审计报告后，且经</w:t>
            </w:r>
            <w:r>
              <w:rPr>
                <w:rFonts w:hint="eastAsia" w:ascii="宋体" w:hAnsi="宋体" w:cs="宋体"/>
                <w:color w:val="auto"/>
                <w:sz w:val="21"/>
                <w:szCs w:val="21"/>
                <w:highlight w:val="none"/>
                <w:lang w:val="en-US" w:eastAsia="zh-CN"/>
              </w:rPr>
              <w:t>委托人</w:t>
            </w:r>
            <w:r>
              <w:rPr>
                <w:rFonts w:hint="eastAsia" w:ascii="宋体" w:hAnsi="宋体" w:eastAsia="宋体" w:cs="宋体"/>
                <w:color w:val="auto"/>
                <w:sz w:val="21"/>
                <w:szCs w:val="21"/>
                <w:highlight w:val="none"/>
                <w:lang w:eastAsia="zh-CN"/>
              </w:rPr>
              <w:t>认定后</w:t>
            </w:r>
            <w:r>
              <w:rPr>
                <w:rFonts w:hint="default" w:ascii="宋体" w:hAnsi="宋体" w:eastAsia="宋体" w:cs="宋体"/>
                <w:color w:val="auto"/>
                <w:sz w:val="21"/>
                <w:szCs w:val="21"/>
                <w:highlight w:val="none"/>
                <w:lang w:eastAsia="zh-CN"/>
              </w:rPr>
              <w:t>20</w:t>
            </w:r>
            <w:r>
              <w:rPr>
                <w:rFonts w:hint="eastAsia" w:ascii="宋体" w:hAnsi="宋体" w:eastAsia="宋体" w:cs="宋体"/>
                <w:color w:val="auto"/>
                <w:sz w:val="21"/>
                <w:szCs w:val="21"/>
                <w:highlight w:val="none"/>
                <w:lang w:eastAsia="zh-CN"/>
              </w:rPr>
              <w:t>个工作日内</w:t>
            </w:r>
          </w:p>
        </w:tc>
        <w:tc>
          <w:tcPr>
            <w:tcW w:w="132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B1A51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default" w:ascii="宋体" w:hAnsi="宋体" w:eastAsia="宋体" w:cs="宋体"/>
                <w:color w:val="auto"/>
                <w:sz w:val="21"/>
                <w:szCs w:val="21"/>
                <w:highlight w:val="none"/>
                <w:lang w:eastAsia="zh-CN"/>
              </w:rPr>
              <w:t>100%</w:t>
            </w:r>
          </w:p>
          <w:p w14:paraId="77BFF700">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（含已支付的）</w:t>
            </w:r>
          </w:p>
        </w:tc>
        <w:tc>
          <w:tcPr>
            <w:tcW w:w="130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D27B73">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项目总计费额</w:t>
            </w:r>
          </w:p>
        </w:tc>
      </w:tr>
    </w:tbl>
    <w:p w14:paraId="452C08EC">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2.委托人</w:t>
      </w:r>
      <w:r>
        <w:rPr>
          <w:rFonts w:hint="eastAsia" w:ascii="宋体" w:hAnsi="宋体" w:eastAsia="宋体" w:cs="宋体"/>
          <w:color w:val="auto"/>
          <w:sz w:val="21"/>
          <w:szCs w:val="21"/>
          <w:highlight w:val="none"/>
          <w:lang w:val="en-US" w:eastAsia="en-US"/>
        </w:rPr>
        <w:t>付款前，</w:t>
      </w:r>
      <w:r>
        <w:rPr>
          <w:rFonts w:hint="eastAsia" w:ascii="宋体" w:hAnsi="宋体" w:eastAsia="宋体" w:cs="宋体"/>
          <w:color w:val="auto"/>
          <w:sz w:val="21"/>
          <w:szCs w:val="21"/>
          <w:highlight w:val="none"/>
          <w:lang w:val="en-US" w:eastAsia="zh-CN"/>
        </w:rPr>
        <w:t>咨询人</w:t>
      </w:r>
      <w:r>
        <w:rPr>
          <w:rFonts w:hint="eastAsia" w:ascii="宋体" w:hAnsi="宋体" w:eastAsia="宋体" w:cs="宋体"/>
          <w:color w:val="auto"/>
          <w:sz w:val="21"/>
          <w:szCs w:val="21"/>
          <w:highlight w:val="none"/>
          <w:lang w:val="en-US" w:eastAsia="en-US"/>
        </w:rPr>
        <w:t>应向</w:t>
      </w:r>
      <w:r>
        <w:rPr>
          <w:rFonts w:hint="eastAsia" w:ascii="宋体" w:hAnsi="宋体" w:eastAsia="宋体" w:cs="宋体"/>
          <w:color w:val="auto"/>
          <w:sz w:val="21"/>
          <w:szCs w:val="21"/>
          <w:highlight w:val="none"/>
          <w:lang w:val="en-US" w:eastAsia="zh-CN"/>
        </w:rPr>
        <w:t>委托人</w:t>
      </w:r>
      <w:r>
        <w:rPr>
          <w:rFonts w:hint="eastAsia" w:ascii="宋体" w:hAnsi="宋体" w:eastAsia="宋体" w:cs="宋体"/>
          <w:color w:val="auto"/>
          <w:sz w:val="21"/>
          <w:szCs w:val="21"/>
          <w:highlight w:val="none"/>
          <w:lang w:val="en-US" w:eastAsia="en-US"/>
        </w:rPr>
        <w:t>开具等额有效的增值税普通发票，</w:t>
      </w:r>
      <w:r>
        <w:rPr>
          <w:rFonts w:hint="eastAsia" w:ascii="宋体" w:hAnsi="宋体" w:eastAsia="宋体" w:cs="宋体"/>
          <w:color w:val="auto"/>
          <w:sz w:val="21"/>
          <w:szCs w:val="21"/>
          <w:highlight w:val="none"/>
          <w:lang w:val="en-US" w:eastAsia="zh-CN"/>
        </w:rPr>
        <w:t>委托人</w:t>
      </w:r>
      <w:r>
        <w:rPr>
          <w:rFonts w:hint="eastAsia" w:ascii="宋体" w:hAnsi="宋体" w:eastAsia="宋体" w:cs="宋体"/>
          <w:color w:val="auto"/>
          <w:sz w:val="21"/>
          <w:szCs w:val="21"/>
          <w:highlight w:val="none"/>
          <w:lang w:val="en-US" w:eastAsia="en-US"/>
        </w:rPr>
        <w:t>未收到发票的，有权不予支付相应款项直至咨询人提供合格发票，并不承担延迟付款责任。发票认证通过是付款的必要前提之一。</w:t>
      </w:r>
    </w:p>
    <w:p w14:paraId="022E4C2C">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en-US"/>
        </w:rPr>
        <w:t>酬金计算方式：</w:t>
      </w:r>
    </w:p>
    <w:p w14:paraId="0781E318">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项目总计费额 = 施工造价过程咨询费+工程竣工结算审核费</w:t>
      </w:r>
    </w:p>
    <w:p w14:paraId="2F732A7B">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施工造价过程咨询费 </w:t>
      </w:r>
      <w:r>
        <w:rPr>
          <w:rFonts w:hint="default"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eastAsia="zh-CN"/>
        </w:rPr>
        <w:t>工程施工合同价</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相应费率</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（1-</w:t>
      </w:r>
      <w:r>
        <w:rPr>
          <w:rFonts w:hint="eastAsia" w:ascii="宋体" w:hAnsi="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eastAsia="zh-CN"/>
        </w:rPr>
        <w:t>）</w:t>
      </w:r>
    </w:p>
    <w:p w14:paraId="4D5A297A">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工程竣工结算审核费 </w:t>
      </w:r>
      <w:r>
        <w:rPr>
          <w:rFonts w:hint="default"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r>
        <w:rPr>
          <w:rFonts w:hint="default" w:ascii="宋体" w:hAnsi="宋体" w:eastAsia="宋体" w:cs="宋体"/>
          <w:color w:val="auto"/>
          <w:sz w:val="21"/>
          <w:szCs w:val="21"/>
          <w:highlight w:val="none"/>
          <w:lang w:eastAsia="zh-CN"/>
        </w:rPr>
        <w:t>送审</w:t>
      </w:r>
      <w:r>
        <w:rPr>
          <w:rFonts w:hint="eastAsia" w:ascii="宋体" w:hAnsi="宋体" w:cs="宋体"/>
          <w:color w:val="auto"/>
          <w:sz w:val="21"/>
          <w:szCs w:val="21"/>
          <w:highlight w:val="none"/>
          <w:lang w:val="en-US" w:eastAsia="zh-CN"/>
        </w:rPr>
        <w:t>工程</w:t>
      </w:r>
      <w:r>
        <w:rPr>
          <w:rFonts w:hint="default" w:ascii="宋体" w:hAnsi="宋体" w:eastAsia="宋体" w:cs="宋体"/>
          <w:color w:val="auto"/>
          <w:sz w:val="21"/>
          <w:szCs w:val="21"/>
          <w:highlight w:val="none"/>
          <w:lang w:eastAsia="zh-CN"/>
        </w:rPr>
        <w:t>造价</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相应费率</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eastAsia="zh-CN"/>
        </w:rPr>
        <w:t>（1-</w:t>
      </w:r>
      <w:r>
        <w:rPr>
          <w:rFonts w:hint="eastAsia" w:ascii="宋体" w:hAnsi="宋体" w:cs="宋体"/>
          <w:color w:val="auto"/>
          <w:sz w:val="21"/>
          <w:szCs w:val="21"/>
          <w:highlight w:val="none"/>
          <w:u w:val="single"/>
          <w:lang w:val="en-US" w:eastAsia="zh-CN"/>
        </w:rPr>
        <w:t xml:space="preserve">       %</w:t>
      </w:r>
      <w:r>
        <w:rPr>
          <w:rFonts w:hint="default" w:ascii="宋体" w:hAnsi="宋体" w:eastAsia="宋体" w:cs="宋体"/>
          <w:color w:val="auto"/>
          <w:sz w:val="21"/>
          <w:szCs w:val="21"/>
          <w:highlight w:val="none"/>
          <w:lang w:eastAsia="zh-CN"/>
        </w:rPr>
        <w:t>）</w:t>
      </w:r>
    </w:p>
    <w:p w14:paraId="4045402C">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注：工程造价咨询服务收费根据不同咨询项目的性质、内容采取差额定率分档累进方法计算，详见下表：</w:t>
      </w:r>
    </w:p>
    <w:tbl>
      <w:tblPr>
        <w:tblStyle w:val="29"/>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56"/>
        <w:gridCol w:w="1913"/>
        <w:gridCol w:w="1585"/>
        <w:gridCol w:w="2260"/>
        <w:gridCol w:w="1927"/>
      </w:tblGrid>
      <w:tr w14:paraId="0F082A86">
        <w:trPr>
          <w:trHeight w:val="454" w:hRule="atLeast"/>
          <w:jc w:val="center"/>
        </w:trPr>
        <w:tc>
          <w:tcPr>
            <w:tcW w:w="1014" w:type="pct"/>
            <w:vMerge w:val="restart"/>
            <w:tcBorders>
              <w:bottom w:val="nil"/>
            </w:tcBorders>
            <w:vAlign w:val="center"/>
          </w:tcPr>
          <w:p w14:paraId="78B9E893">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咨询项目名称</w:t>
            </w:r>
          </w:p>
        </w:tc>
        <w:tc>
          <w:tcPr>
            <w:tcW w:w="992" w:type="pct"/>
            <w:vMerge w:val="restart"/>
            <w:tcBorders>
              <w:bottom w:val="nil"/>
            </w:tcBorders>
            <w:vAlign w:val="center"/>
          </w:tcPr>
          <w:p w14:paraId="3C5DEFBD">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计费基数</w:t>
            </w:r>
          </w:p>
        </w:tc>
        <w:tc>
          <w:tcPr>
            <w:tcW w:w="2993" w:type="pct"/>
            <w:gridSpan w:val="3"/>
            <w:vAlign w:val="center"/>
          </w:tcPr>
          <w:p w14:paraId="462119E8">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1"/>
                <w:szCs w:val="21"/>
                <w:highlight w:val="none"/>
              </w:rPr>
              <w:t>按差额定率分档累进方法计算</w:t>
            </w:r>
            <w:r>
              <w:rPr>
                <w:rFonts w:hint="eastAsia" w:ascii="宋体" w:hAnsi="宋体" w:eastAsia="宋体" w:cs="宋体"/>
                <w:color w:val="auto"/>
                <w:spacing w:val="4"/>
                <w:sz w:val="21"/>
                <w:szCs w:val="21"/>
                <w:highlight w:val="none"/>
                <w:lang w:eastAsia="zh-CN"/>
              </w:rPr>
              <w:t>（</w:t>
            </w:r>
            <w:r>
              <w:rPr>
                <w:rFonts w:ascii="宋体" w:hAnsi="宋体" w:eastAsia="宋体" w:cs="宋体"/>
                <w:color w:val="auto"/>
                <w:spacing w:val="4"/>
                <w:sz w:val="21"/>
                <w:szCs w:val="21"/>
                <w:highlight w:val="none"/>
              </w:rPr>
              <w:t>费率</w:t>
            </w:r>
            <w:r>
              <w:rPr>
                <w:rFonts w:hint="eastAsia" w:ascii="宋体" w:hAnsi="宋体" w:eastAsia="宋体" w:cs="宋体"/>
                <w:color w:val="auto"/>
                <w:spacing w:val="4"/>
                <w:sz w:val="21"/>
                <w:szCs w:val="21"/>
                <w:highlight w:val="none"/>
                <w:lang w:val="en-US" w:eastAsia="zh-CN"/>
              </w:rPr>
              <w:t>单位：</w:t>
            </w:r>
            <w:r>
              <w:rPr>
                <w:rFonts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lang w:eastAsia="zh-CN"/>
              </w:rPr>
              <w:t>）</w:t>
            </w:r>
          </w:p>
        </w:tc>
      </w:tr>
      <w:tr w14:paraId="1FC9620C">
        <w:trPr>
          <w:trHeight w:val="454" w:hRule="atLeast"/>
          <w:jc w:val="center"/>
        </w:trPr>
        <w:tc>
          <w:tcPr>
            <w:tcW w:w="1014" w:type="pct"/>
            <w:vMerge w:val="continue"/>
            <w:tcBorders>
              <w:top w:val="nil"/>
            </w:tcBorders>
            <w:vAlign w:val="center"/>
          </w:tcPr>
          <w:p w14:paraId="66CC66EA">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cs="宋体"/>
                <w:color w:val="auto"/>
                <w:sz w:val="21"/>
                <w:szCs w:val="21"/>
                <w:highlight w:val="none"/>
              </w:rPr>
            </w:pPr>
          </w:p>
        </w:tc>
        <w:tc>
          <w:tcPr>
            <w:tcW w:w="992" w:type="pct"/>
            <w:vMerge w:val="continue"/>
            <w:tcBorders>
              <w:top w:val="nil"/>
            </w:tcBorders>
            <w:vAlign w:val="center"/>
          </w:tcPr>
          <w:p w14:paraId="5EF7F535">
            <w:pPr>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cs="宋体"/>
                <w:color w:val="auto"/>
                <w:sz w:val="21"/>
                <w:szCs w:val="21"/>
                <w:highlight w:val="none"/>
              </w:rPr>
            </w:pPr>
          </w:p>
        </w:tc>
        <w:tc>
          <w:tcPr>
            <w:tcW w:w="822" w:type="pct"/>
            <w:vAlign w:val="center"/>
          </w:tcPr>
          <w:p w14:paraId="468C4F4E">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1000万元以下</w:t>
            </w:r>
          </w:p>
        </w:tc>
        <w:tc>
          <w:tcPr>
            <w:tcW w:w="1172" w:type="pct"/>
            <w:vAlign w:val="center"/>
          </w:tcPr>
          <w:p w14:paraId="4FA10F78">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1000-5000万元(含)</w:t>
            </w:r>
          </w:p>
        </w:tc>
        <w:tc>
          <w:tcPr>
            <w:tcW w:w="997" w:type="pct"/>
            <w:vAlign w:val="center"/>
          </w:tcPr>
          <w:p w14:paraId="7C906C0C">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5000万元-2亿</w:t>
            </w:r>
          </w:p>
          <w:p w14:paraId="19F62BA0">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元</w:t>
            </w:r>
            <w:r>
              <w:rPr>
                <w:rFonts w:ascii="宋体" w:hAnsi="宋体" w:eastAsia="宋体" w:cs="宋体"/>
                <w:color w:val="auto"/>
                <w:spacing w:val="8"/>
                <w:sz w:val="21"/>
                <w:szCs w:val="21"/>
                <w:highlight w:val="none"/>
              </w:rPr>
              <w:t xml:space="preserve"> </w:t>
            </w:r>
            <w:r>
              <w:rPr>
                <w:rFonts w:ascii="宋体" w:hAnsi="宋体" w:eastAsia="宋体" w:cs="宋体"/>
                <w:color w:val="auto"/>
                <w:spacing w:val="-19"/>
                <w:sz w:val="21"/>
                <w:szCs w:val="21"/>
                <w:highlight w:val="none"/>
              </w:rPr>
              <w:t>(</w:t>
            </w:r>
            <w:r>
              <w:rPr>
                <w:rFonts w:ascii="宋体" w:hAnsi="宋体" w:eastAsia="宋体" w:cs="宋体"/>
                <w:color w:val="auto"/>
                <w:spacing w:val="-36"/>
                <w:sz w:val="21"/>
                <w:szCs w:val="21"/>
                <w:highlight w:val="none"/>
              </w:rPr>
              <w:t xml:space="preserve"> </w:t>
            </w:r>
            <w:r>
              <w:rPr>
                <w:rFonts w:ascii="宋体" w:hAnsi="宋体" w:eastAsia="宋体" w:cs="宋体"/>
                <w:color w:val="auto"/>
                <w:spacing w:val="-19"/>
                <w:sz w:val="21"/>
                <w:szCs w:val="21"/>
                <w:highlight w:val="none"/>
              </w:rPr>
              <w:t>含</w:t>
            </w:r>
            <w:r>
              <w:rPr>
                <w:rFonts w:ascii="宋体" w:hAnsi="宋体" w:eastAsia="宋体" w:cs="宋体"/>
                <w:color w:val="auto"/>
                <w:spacing w:val="-35"/>
                <w:sz w:val="21"/>
                <w:szCs w:val="21"/>
                <w:highlight w:val="none"/>
              </w:rPr>
              <w:t xml:space="preserve"> </w:t>
            </w:r>
            <w:r>
              <w:rPr>
                <w:rFonts w:ascii="宋体" w:hAnsi="宋体" w:eastAsia="宋体" w:cs="宋体"/>
                <w:color w:val="auto"/>
                <w:spacing w:val="-19"/>
                <w:sz w:val="21"/>
                <w:szCs w:val="21"/>
                <w:highlight w:val="none"/>
              </w:rPr>
              <w:t>)</w:t>
            </w:r>
          </w:p>
        </w:tc>
      </w:tr>
      <w:tr w14:paraId="798BEA32">
        <w:trPr>
          <w:trHeight w:val="454" w:hRule="atLeast"/>
          <w:jc w:val="center"/>
        </w:trPr>
        <w:tc>
          <w:tcPr>
            <w:tcW w:w="1014" w:type="pct"/>
            <w:tcBorders>
              <w:bottom w:val="single" w:color="auto" w:sz="4" w:space="0"/>
            </w:tcBorders>
            <w:vAlign w:val="center"/>
          </w:tcPr>
          <w:p w14:paraId="606E9C37">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施工过程造价咨询</w:t>
            </w:r>
          </w:p>
        </w:tc>
        <w:tc>
          <w:tcPr>
            <w:tcW w:w="992" w:type="pct"/>
            <w:tcBorders>
              <w:bottom w:val="single" w:color="auto" w:sz="4" w:space="0"/>
            </w:tcBorders>
            <w:vAlign w:val="center"/>
          </w:tcPr>
          <w:p w14:paraId="155584D9">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right="145"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工程施工合</w:t>
            </w:r>
            <w:r>
              <w:rPr>
                <w:rFonts w:ascii="宋体" w:hAnsi="宋体" w:eastAsia="宋体" w:cs="宋体"/>
                <w:color w:val="auto"/>
                <w:spacing w:val="5"/>
                <w:sz w:val="21"/>
                <w:szCs w:val="21"/>
                <w:highlight w:val="none"/>
              </w:rPr>
              <w:t>同价</w:t>
            </w:r>
          </w:p>
        </w:tc>
        <w:tc>
          <w:tcPr>
            <w:tcW w:w="822" w:type="pct"/>
            <w:tcBorders>
              <w:bottom w:val="single" w:color="auto" w:sz="4" w:space="0"/>
            </w:tcBorders>
            <w:vAlign w:val="center"/>
          </w:tcPr>
          <w:p w14:paraId="7DB2B4F2">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5.2</w:t>
            </w:r>
          </w:p>
        </w:tc>
        <w:tc>
          <w:tcPr>
            <w:tcW w:w="1172" w:type="pct"/>
            <w:tcBorders>
              <w:bottom w:val="single" w:color="auto" w:sz="4" w:space="0"/>
            </w:tcBorders>
            <w:vAlign w:val="center"/>
          </w:tcPr>
          <w:p w14:paraId="62B8F833">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997" w:type="pct"/>
            <w:tcBorders>
              <w:bottom w:val="single" w:color="auto" w:sz="4" w:space="0"/>
            </w:tcBorders>
            <w:vAlign w:val="center"/>
          </w:tcPr>
          <w:p w14:paraId="4298A39F">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3.4</w:t>
            </w:r>
          </w:p>
        </w:tc>
      </w:tr>
      <w:tr w14:paraId="1D0DAA6F">
        <w:trPr>
          <w:trHeight w:val="454" w:hRule="atLeast"/>
          <w:jc w:val="center"/>
        </w:trPr>
        <w:tc>
          <w:tcPr>
            <w:tcW w:w="1014" w:type="pct"/>
            <w:tcBorders>
              <w:top w:val="single" w:color="auto" w:sz="4" w:space="0"/>
              <w:left w:val="single" w:color="auto" w:sz="4" w:space="0"/>
              <w:bottom w:val="single" w:color="auto" w:sz="4" w:space="0"/>
            </w:tcBorders>
            <w:vAlign w:val="center"/>
          </w:tcPr>
          <w:p w14:paraId="6AE169E3">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工</w:t>
            </w:r>
            <w:r>
              <w:rPr>
                <w:rFonts w:ascii="宋体" w:hAnsi="宋体" w:eastAsia="宋体" w:cs="宋体"/>
                <w:color w:val="auto"/>
                <w:spacing w:val="2"/>
                <w:sz w:val="21"/>
                <w:szCs w:val="21"/>
                <w:highlight w:val="none"/>
              </w:rPr>
              <w:t>程竣工结算审核</w:t>
            </w:r>
          </w:p>
        </w:tc>
        <w:tc>
          <w:tcPr>
            <w:tcW w:w="992" w:type="pct"/>
            <w:tcBorders>
              <w:top w:val="single" w:color="auto" w:sz="4" w:space="0"/>
              <w:bottom w:val="single" w:color="auto" w:sz="4" w:space="0"/>
            </w:tcBorders>
            <w:vAlign w:val="center"/>
          </w:tcPr>
          <w:p w14:paraId="7469AFEE">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送审结算造</w:t>
            </w:r>
            <w:r>
              <w:rPr>
                <w:rFonts w:ascii="宋体" w:hAnsi="宋体" w:eastAsia="宋体" w:cs="宋体"/>
                <w:color w:val="auto"/>
                <w:sz w:val="21"/>
                <w:szCs w:val="21"/>
                <w:highlight w:val="none"/>
              </w:rPr>
              <w:t>价</w:t>
            </w:r>
          </w:p>
        </w:tc>
        <w:tc>
          <w:tcPr>
            <w:tcW w:w="822" w:type="pct"/>
            <w:tcBorders>
              <w:top w:val="single" w:color="auto" w:sz="4" w:space="0"/>
              <w:bottom w:val="single" w:color="auto" w:sz="4" w:space="0"/>
            </w:tcBorders>
            <w:vAlign w:val="center"/>
          </w:tcPr>
          <w:p w14:paraId="5D4F381D">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5.4</w:t>
            </w:r>
          </w:p>
        </w:tc>
        <w:tc>
          <w:tcPr>
            <w:tcW w:w="1172" w:type="pct"/>
            <w:tcBorders>
              <w:top w:val="single" w:color="auto" w:sz="4" w:space="0"/>
              <w:bottom w:val="single" w:color="auto" w:sz="4" w:space="0"/>
            </w:tcBorders>
            <w:vAlign w:val="center"/>
          </w:tcPr>
          <w:p w14:paraId="173945E7">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w:t>
            </w:r>
          </w:p>
        </w:tc>
        <w:tc>
          <w:tcPr>
            <w:tcW w:w="997" w:type="pct"/>
            <w:tcBorders>
              <w:top w:val="single" w:color="auto" w:sz="4" w:space="0"/>
              <w:bottom w:val="single" w:color="auto" w:sz="4" w:space="0"/>
              <w:right w:val="single" w:color="auto" w:sz="4" w:space="0"/>
            </w:tcBorders>
            <w:vAlign w:val="center"/>
          </w:tcPr>
          <w:p w14:paraId="47D7C0B4">
            <w:pPr>
              <w:pStyle w:val="28"/>
              <w:keepNext w:val="0"/>
              <w:keepLines w:val="0"/>
              <w:pageBreakBefore w:val="0"/>
              <w:widowControl/>
              <w:shd w:val="clear"/>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w:t>
            </w:r>
          </w:p>
        </w:tc>
      </w:tr>
    </w:tbl>
    <w:p w14:paraId="044D9F4E">
      <w:pPr>
        <w:keepNext w:val="0"/>
        <w:keepLines w:val="0"/>
        <w:pageBreakBefore w:val="0"/>
        <w:widowControl w:val="0"/>
        <w:shd w:val="clear"/>
        <w:tabs>
          <w:tab w:val="left" w:pos="2190"/>
        </w:tabs>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eastAsia="zh-CN"/>
        </w:rPr>
        <w:t>）收费按收费标准计费不足</w:t>
      </w:r>
      <w:r>
        <w:rPr>
          <w:rFonts w:hint="default" w:ascii="宋体" w:hAnsi="宋体" w:eastAsia="宋体" w:cs="宋体"/>
          <w:color w:val="auto"/>
          <w:sz w:val="21"/>
          <w:szCs w:val="21"/>
          <w:highlight w:val="none"/>
          <w:lang w:eastAsia="zh-CN"/>
        </w:rPr>
        <w:t>3000</w:t>
      </w:r>
      <w:r>
        <w:rPr>
          <w:rFonts w:hint="eastAsia" w:ascii="宋体" w:hAnsi="宋体" w:eastAsia="宋体" w:cs="宋体"/>
          <w:color w:val="auto"/>
          <w:sz w:val="21"/>
          <w:szCs w:val="21"/>
          <w:highlight w:val="none"/>
          <w:lang w:eastAsia="zh-CN"/>
        </w:rPr>
        <w:t>元的按</w:t>
      </w:r>
      <w:r>
        <w:rPr>
          <w:rFonts w:hint="default" w:ascii="宋体" w:hAnsi="宋体" w:eastAsia="宋体" w:cs="宋体"/>
          <w:color w:val="auto"/>
          <w:sz w:val="21"/>
          <w:szCs w:val="21"/>
          <w:highlight w:val="none"/>
          <w:lang w:eastAsia="zh-CN"/>
        </w:rPr>
        <w:t>3000</w:t>
      </w:r>
      <w:r>
        <w:rPr>
          <w:rFonts w:hint="eastAsia" w:ascii="宋体" w:hAnsi="宋体" w:eastAsia="宋体" w:cs="宋体"/>
          <w:color w:val="auto"/>
          <w:sz w:val="21"/>
          <w:szCs w:val="21"/>
          <w:highlight w:val="none"/>
          <w:lang w:eastAsia="zh-CN"/>
        </w:rPr>
        <w:t>元计费，其余（除驻场服务费外）按桂价协字〔2019〕</w:t>
      </w:r>
      <w:r>
        <w:rPr>
          <w:rFonts w:hint="default"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t>号文规定执行，合同履行中委托的审计事项不适用于桂价协字〔2019〕</w:t>
      </w:r>
      <w:r>
        <w:rPr>
          <w:rFonts w:hint="default" w:ascii="宋体" w:hAnsi="宋体" w:eastAsia="宋体" w:cs="宋体"/>
          <w:color w:val="auto"/>
          <w:sz w:val="21"/>
          <w:szCs w:val="21"/>
          <w:highlight w:val="none"/>
          <w:lang w:eastAsia="zh-CN"/>
        </w:rPr>
        <w:t>15</w:t>
      </w:r>
      <w:r>
        <w:rPr>
          <w:rFonts w:hint="eastAsia" w:ascii="宋体" w:hAnsi="宋体" w:eastAsia="宋体" w:cs="宋体"/>
          <w:color w:val="auto"/>
          <w:sz w:val="21"/>
          <w:szCs w:val="21"/>
          <w:highlight w:val="none"/>
          <w:lang w:eastAsia="zh-CN"/>
        </w:rPr>
        <w:t>号文的，由</w:t>
      </w:r>
      <w:r>
        <w:rPr>
          <w:rFonts w:hint="eastAsia" w:ascii="宋体" w:hAnsi="宋体" w:cs="宋体"/>
          <w:color w:val="auto"/>
          <w:sz w:val="21"/>
          <w:szCs w:val="21"/>
          <w:highlight w:val="none"/>
          <w:lang w:val="en-US" w:eastAsia="zh-CN"/>
        </w:rPr>
        <w:t>委托人</w:t>
      </w:r>
      <w:r>
        <w:rPr>
          <w:rFonts w:hint="eastAsia" w:ascii="宋体" w:hAnsi="宋体" w:eastAsia="宋体" w:cs="宋体"/>
          <w:color w:val="auto"/>
          <w:sz w:val="21"/>
          <w:szCs w:val="21"/>
          <w:highlight w:val="none"/>
          <w:lang w:eastAsia="zh-CN"/>
        </w:rPr>
        <w:t>与</w:t>
      </w:r>
      <w:r>
        <w:rPr>
          <w:rFonts w:hint="eastAsia" w:ascii="宋体" w:hAnsi="宋体" w:cs="宋体"/>
          <w:color w:val="auto"/>
          <w:sz w:val="21"/>
          <w:szCs w:val="21"/>
          <w:highlight w:val="none"/>
          <w:lang w:val="en-US" w:eastAsia="zh-CN"/>
        </w:rPr>
        <w:t>咨询人</w:t>
      </w:r>
      <w:r>
        <w:rPr>
          <w:rFonts w:hint="eastAsia" w:ascii="宋体" w:hAnsi="宋体" w:eastAsia="宋体" w:cs="宋体"/>
          <w:color w:val="auto"/>
          <w:sz w:val="21"/>
          <w:szCs w:val="21"/>
          <w:highlight w:val="none"/>
          <w:lang w:eastAsia="zh-CN"/>
        </w:rPr>
        <w:t>谈判确定。</w:t>
      </w:r>
    </w:p>
    <w:p w14:paraId="39ECD49A">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en-US"/>
        </w:rPr>
        <w:t>本项目使用币制为人民币。</w:t>
      </w:r>
    </w:p>
    <w:p w14:paraId="76D68EB3">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5.驻场服务费用已包含在总报价中，委托人不再另行支付。</w:t>
      </w:r>
    </w:p>
    <w:p w14:paraId="41FE9F81">
      <w:pPr>
        <w:numPr>
          <w:ilvl w:val="0"/>
          <w:numId w:val="0"/>
        </w:numPr>
        <w:shd w:val="clear" w:color="auto"/>
        <w:spacing w:line="400" w:lineRule="exact"/>
        <w:ind w:firstLine="420" w:firstLineChars="200"/>
        <w:rPr>
          <w:rFonts w:hint="eastAsia" w:ascii="宋体" w:hAnsi="宋体" w:eastAsia="宋体" w:cs="宋体"/>
          <w:b/>
          <w:color w:val="auto"/>
          <w:kern w:val="2"/>
          <w:sz w:val="21"/>
          <w:szCs w:val="21"/>
          <w:highlight w:val="none"/>
          <w:lang w:val="en-US" w:eastAsia="zh-CN" w:bidi="ar-SA"/>
        </w:rPr>
      </w:pPr>
      <w:bookmarkStart w:id="102" w:name="_Toc422322476"/>
      <w:bookmarkStart w:id="103" w:name="_Toc419045058"/>
      <w:r>
        <w:rPr>
          <w:rFonts w:hint="eastAsia" w:ascii="宋体" w:hAnsi="宋体" w:eastAsia="宋体" w:cs="宋体"/>
          <w:b/>
          <w:color w:val="auto"/>
          <w:kern w:val="2"/>
          <w:sz w:val="21"/>
          <w:szCs w:val="21"/>
          <w:highlight w:val="none"/>
          <w:lang w:val="en-US" w:eastAsia="zh-CN" w:bidi="ar-SA"/>
        </w:rPr>
        <w:t>六、合同文件的构成</w:t>
      </w:r>
      <w:bookmarkEnd w:id="102"/>
      <w:bookmarkEnd w:id="103"/>
    </w:p>
    <w:p w14:paraId="3AA66A30">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本协议书与下列文件一起构成合同文件:</w:t>
      </w:r>
    </w:p>
    <w:p w14:paraId="13F7CE65">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1.成交通知书或委托书（如果有）；</w:t>
      </w:r>
    </w:p>
    <w:p w14:paraId="2F0043F4">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2.投标函及投标函附录或造价咨询服务建议书（如果有）；</w:t>
      </w:r>
    </w:p>
    <w:p w14:paraId="39B11B9D">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3.专用条件及附录；</w:t>
      </w:r>
    </w:p>
    <w:p w14:paraId="254713D0">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4.通用条款；</w:t>
      </w:r>
    </w:p>
    <w:p w14:paraId="1C21FDB0">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5.其他合同文件。</w:t>
      </w:r>
    </w:p>
    <w:p w14:paraId="036D87FE">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上述各项合同文件包括合同当事人就该项合同文件所作出的补充和修改，属于同一类内容的文件，应以最新签署的为准。</w:t>
      </w:r>
    </w:p>
    <w:p w14:paraId="040DAB18">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在合同订立及履行过程中形成的与合同有关的文件（包括补充协议）均构成合同文件的组成部分。</w:t>
      </w:r>
    </w:p>
    <w:p w14:paraId="044B3AE4">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2"/>
          <w:sz w:val="21"/>
          <w:szCs w:val="21"/>
          <w:highlight w:val="none"/>
          <w:lang w:val="en-US" w:eastAsia="zh-CN" w:bidi="ar-SA"/>
        </w:rPr>
      </w:pPr>
      <w:bookmarkStart w:id="104" w:name="_Toc419045057"/>
      <w:bookmarkStart w:id="105" w:name="_Toc422322477"/>
      <w:r>
        <w:rPr>
          <w:rFonts w:hint="eastAsia" w:ascii="宋体" w:hAnsi="宋体" w:eastAsia="宋体" w:cs="宋体"/>
          <w:b/>
          <w:color w:val="auto"/>
          <w:kern w:val="2"/>
          <w:sz w:val="21"/>
          <w:szCs w:val="21"/>
          <w:highlight w:val="none"/>
          <w:lang w:val="en-US" w:eastAsia="zh-CN" w:bidi="ar-SA"/>
        </w:rPr>
        <w:t>七、</w:t>
      </w:r>
      <w:bookmarkStart w:id="106" w:name="8"/>
      <w:r>
        <w:rPr>
          <w:rFonts w:hint="eastAsia" w:ascii="宋体" w:hAnsi="宋体" w:eastAsia="宋体" w:cs="宋体"/>
          <w:b/>
          <w:color w:val="auto"/>
          <w:kern w:val="2"/>
          <w:sz w:val="21"/>
          <w:szCs w:val="21"/>
          <w:highlight w:val="none"/>
          <w:lang w:val="en-US" w:eastAsia="zh-CN" w:bidi="ar-SA"/>
        </w:rPr>
        <w:t>词语</w:t>
      </w:r>
      <w:bookmarkEnd w:id="104"/>
      <w:r>
        <w:rPr>
          <w:rFonts w:hint="eastAsia" w:ascii="宋体" w:hAnsi="宋体" w:eastAsia="宋体" w:cs="宋体"/>
          <w:b/>
          <w:color w:val="auto"/>
          <w:kern w:val="2"/>
          <w:sz w:val="21"/>
          <w:szCs w:val="21"/>
          <w:highlight w:val="none"/>
          <w:lang w:val="en-US" w:eastAsia="zh-CN" w:bidi="ar-SA"/>
        </w:rPr>
        <w:t>定义</w:t>
      </w:r>
      <w:bookmarkEnd w:id="105"/>
    </w:p>
    <w:p w14:paraId="7F355DD4">
      <w:pPr>
        <w:numPr>
          <w:ilvl w:val="0"/>
          <w:numId w:val="0"/>
        </w:numPr>
        <w:shd w:val="clear" w:color="auto"/>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协议书中相关词语的含义与通用条款中的定义与解释相同。</w:t>
      </w:r>
      <w:bookmarkEnd w:id="106"/>
    </w:p>
    <w:p w14:paraId="7C7900F9">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2"/>
          <w:sz w:val="21"/>
          <w:szCs w:val="21"/>
          <w:highlight w:val="none"/>
          <w:lang w:val="en-US" w:eastAsia="zh-CN" w:bidi="ar-SA"/>
        </w:rPr>
      </w:pPr>
      <w:bookmarkStart w:id="107" w:name="_Toc422322478"/>
      <w:bookmarkStart w:id="108" w:name="_Toc419045063"/>
      <w:r>
        <w:rPr>
          <w:rFonts w:hint="eastAsia" w:ascii="宋体" w:hAnsi="宋体" w:eastAsia="宋体" w:cs="宋体"/>
          <w:b/>
          <w:color w:val="auto"/>
          <w:kern w:val="2"/>
          <w:sz w:val="21"/>
          <w:szCs w:val="21"/>
          <w:highlight w:val="none"/>
          <w:lang w:val="en-US" w:eastAsia="zh-CN" w:bidi="ar-SA"/>
        </w:rPr>
        <w:t>八、合同订立</w:t>
      </w:r>
      <w:bookmarkEnd w:id="107"/>
      <w:bookmarkEnd w:id="108"/>
    </w:p>
    <w:p w14:paraId="476F4C34">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1.订立时间：</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年</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月</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日。</w:t>
      </w:r>
    </w:p>
    <w:p w14:paraId="6219D503">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2.订立地点：</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14:paraId="7BB43D22">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2"/>
          <w:sz w:val="21"/>
          <w:szCs w:val="21"/>
          <w:highlight w:val="none"/>
          <w:lang w:val="en-US" w:eastAsia="zh-CN" w:bidi="ar-SA"/>
        </w:rPr>
      </w:pPr>
      <w:bookmarkStart w:id="109" w:name="_Toc419045064"/>
      <w:bookmarkStart w:id="110" w:name="_Toc422322479"/>
      <w:r>
        <w:rPr>
          <w:rFonts w:hint="eastAsia" w:ascii="宋体" w:hAnsi="宋体" w:eastAsia="宋体" w:cs="宋体"/>
          <w:b/>
          <w:color w:val="auto"/>
          <w:kern w:val="2"/>
          <w:sz w:val="21"/>
          <w:szCs w:val="21"/>
          <w:highlight w:val="none"/>
          <w:lang w:val="en-US" w:eastAsia="zh-CN" w:bidi="ar-SA"/>
        </w:rPr>
        <w:t>九、合同生效</w:t>
      </w:r>
      <w:bookmarkEnd w:id="109"/>
      <w:bookmarkEnd w:id="110"/>
    </w:p>
    <w:p w14:paraId="7B7C412D">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本合同自</w:t>
      </w:r>
      <w:r>
        <w:rPr>
          <w:rFonts w:hint="eastAsia" w:ascii="宋体" w:hAnsi="宋体" w:eastAsia="宋体" w:cs="宋体"/>
          <w:color w:val="auto"/>
          <w:kern w:val="0"/>
          <w:sz w:val="21"/>
          <w:szCs w:val="21"/>
          <w:highlight w:val="none"/>
          <w:u w:val="single"/>
          <w:lang w:val="en-US" w:eastAsia="zh-CN" w:bidi="ar-SA"/>
        </w:rPr>
        <w:t>双方单位盖章且法定代表人或授权代理人签字（或盖章）之日起</w:t>
      </w:r>
      <w:r>
        <w:rPr>
          <w:rFonts w:hint="eastAsia" w:ascii="宋体" w:hAnsi="宋体" w:eastAsia="宋体" w:cs="宋体"/>
          <w:color w:val="auto"/>
          <w:kern w:val="0"/>
          <w:sz w:val="21"/>
          <w:szCs w:val="21"/>
          <w:highlight w:val="none"/>
          <w:lang w:val="en-US" w:eastAsia="zh-CN" w:bidi="ar-SA"/>
        </w:rPr>
        <w:t>生效。</w:t>
      </w:r>
    </w:p>
    <w:p w14:paraId="7564E166">
      <w:pPr>
        <w:widowControl w:val="0"/>
        <w:shd w:val="clear" w:color="auto"/>
        <w:adjustRightInd w:val="0"/>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2"/>
          <w:sz w:val="21"/>
          <w:szCs w:val="21"/>
          <w:highlight w:val="none"/>
          <w:lang w:val="en-US" w:eastAsia="zh-CN" w:bidi="ar-SA"/>
        </w:rPr>
      </w:pPr>
      <w:bookmarkStart w:id="111" w:name="_Toc422322480"/>
      <w:bookmarkStart w:id="112" w:name="_Toc419045065"/>
      <w:r>
        <w:rPr>
          <w:rFonts w:hint="eastAsia" w:ascii="宋体" w:hAnsi="宋体" w:eastAsia="宋体" w:cs="宋体"/>
          <w:b/>
          <w:color w:val="auto"/>
          <w:kern w:val="2"/>
          <w:sz w:val="21"/>
          <w:szCs w:val="21"/>
          <w:highlight w:val="none"/>
          <w:lang w:val="en-US" w:eastAsia="zh-CN" w:bidi="ar-SA"/>
        </w:rPr>
        <w:t>十、合同份数</w:t>
      </w:r>
      <w:bookmarkEnd w:id="111"/>
      <w:bookmarkEnd w:id="112"/>
    </w:p>
    <w:p w14:paraId="318FFCB9">
      <w:pPr>
        <w:numPr>
          <w:ilvl w:val="0"/>
          <w:numId w:val="0"/>
        </w:numPr>
        <w:shd w:val="clear" w:color="auto"/>
        <w:spacing w:line="400" w:lineRule="exact"/>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本合同一式</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份，具有同等法律效力，其中委托人执</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份，咨询人执</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份。</w:t>
      </w:r>
    </w:p>
    <w:p w14:paraId="73D10F98">
      <w:pPr>
        <w:widowControl/>
        <w:shd w:val="clear" w:color="auto"/>
        <w:spacing w:line="380" w:lineRule="atLeast"/>
        <w:ind w:firstLine="3360" w:firstLineChars="1200"/>
        <w:jc w:val="left"/>
        <w:rPr>
          <w:rFonts w:hint="eastAsia" w:ascii="宋体" w:hAnsi="宋体" w:eastAsia="宋体" w:cs="宋体"/>
          <w:color w:val="auto"/>
          <w:kern w:val="0"/>
          <w:sz w:val="28"/>
          <w:szCs w:val="21"/>
          <w:highlight w:val="none"/>
          <w:lang w:val="en-US" w:eastAsia="zh-CN" w:bidi="ar-SA"/>
        </w:rPr>
      </w:pPr>
      <w:r>
        <w:rPr>
          <w:rFonts w:hint="eastAsia" w:ascii="宋体" w:hAnsi="宋体" w:eastAsia="宋体" w:cs="宋体"/>
          <w:color w:val="auto"/>
          <w:kern w:val="0"/>
          <w:sz w:val="28"/>
          <w:szCs w:val="21"/>
          <w:highlight w:val="none"/>
          <w:lang w:val="en-US" w:eastAsia="zh-CN" w:bidi="ar-SA"/>
        </w:rPr>
        <w:t>（以下无正文）</w:t>
      </w:r>
    </w:p>
    <w:p w14:paraId="33F9B514">
      <w:pPr>
        <w:widowControl/>
        <w:shd w:val="clear" w:color="auto"/>
        <w:spacing w:line="380" w:lineRule="atLeast"/>
        <w:ind w:firstLine="0" w:firstLineChars="0"/>
        <w:jc w:val="left"/>
        <w:rPr>
          <w:rFonts w:hint="eastAsia" w:ascii="宋体" w:hAnsi="宋体" w:eastAsia="宋体" w:cs="宋体"/>
          <w:color w:val="auto"/>
          <w:kern w:val="0"/>
          <w:sz w:val="28"/>
          <w:szCs w:val="21"/>
          <w:highlight w:val="none"/>
          <w:lang w:val="en-US" w:eastAsia="zh-CN" w:bidi="ar-SA"/>
        </w:rPr>
      </w:pPr>
    </w:p>
    <w:bookmarkEnd w:id="101"/>
    <w:p w14:paraId="591B26A3">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bookmarkStart w:id="113" w:name="_Toc419045066"/>
      <w:bookmarkStart w:id="114" w:name="_Toc422322481"/>
    </w:p>
    <w:tbl>
      <w:tblPr>
        <w:tblStyle w:val="17"/>
        <w:tblpPr w:leftFromText="180" w:rightFromText="180" w:vertAnchor="text" w:horzAnchor="page" w:tblpX="1370" w:tblpY="430"/>
        <w:tblOverlap w:val="never"/>
        <w:tblW w:w="4995" w:type="pct"/>
        <w:tblInd w:w="0" w:type="dxa"/>
        <w:tblLayout w:type="autofit"/>
        <w:tblCellMar>
          <w:top w:w="0" w:type="dxa"/>
          <w:left w:w="108" w:type="dxa"/>
          <w:bottom w:w="0" w:type="dxa"/>
          <w:right w:w="108" w:type="dxa"/>
        </w:tblCellMar>
      </w:tblPr>
      <w:tblGrid>
        <w:gridCol w:w="4864"/>
        <w:gridCol w:w="4979"/>
      </w:tblGrid>
      <w:tr w14:paraId="4411A499">
        <w:trPr>
          <w:trHeight w:val="440" w:hRule="atLeast"/>
        </w:trPr>
        <w:tc>
          <w:tcPr>
            <w:tcW w:w="2471" w:type="pct"/>
            <w:noWrap w:val="0"/>
            <w:vAlign w:val="top"/>
          </w:tcPr>
          <w:p w14:paraId="52B0170A">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委托人：</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（公章）</w:t>
            </w:r>
          </w:p>
        </w:tc>
        <w:tc>
          <w:tcPr>
            <w:tcW w:w="2528" w:type="pct"/>
            <w:noWrap w:val="0"/>
            <w:vAlign w:val="top"/>
          </w:tcPr>
          <w:p w14:paraId="0E7B6D6C">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28CB50E9">
        <w:trPr>
          <w:trHeight w:val="436" w:hRule="atLeast"/>
        </w:trPr>
        <w:tc>
          <w:tcPr>
            <w:tcW w:w="2471" w:type="pct"/>
            <w:noWrap w:val="0"/>
            <w:vAlign w:val="top"/>
          </w:tcPr>
          <w:p w14:paraId="484B428C">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法定代表人或其委托代理人：</w:t>
            </w:r>
          </w:p>
          <w:p w14:paraId="0A947E85">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（签字或盖章）</w:t>
            </w:r>
          </w:p>
        </w:tc>
        <w:tc>
          <w:tcPr>
            <w:tcW w:w="2528" w:type="pct"/>
            <w:noWrap w:val="0"/>
            <w:vAlign w:val="top"/>
          </w:tcPr>
          <w:p w14:paraId="659BD753">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750BAA2C">
        <w:trPr>
          <w:trHeight w:val="90" w:hRule="atLeast"/>
        </w:trPr>
        <w:tc>
          <w:tcPr>
            <w:tcW w:w="2471" w:type="pct"/>
            <w:noWrap w:val="0"/>
            <w:vAlign w:val="top"/>
          </w:tcPr>
          <w:p w14:paraId="2C27B65C">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c>
          <w:tcPr>
            <w:tcW w:w="2528" w:type="pct"/>
            <w:noWrap w:val="0"/>
            <w:vAlign w:val="top"/>
          </w:tcPr>
          <w:p w14:paraId="1D85BC4A">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3A0E2085">
        <w:trPr>
          <w:trHeight w:val="648" w:hRule="atLeast"/>
        </w:trPr>
        <w:tc>
          <w:tcPr>
            <w:tcW w:w="5000" w:type="pct"/>
            <w:gridSpan w:val="2"/>
            <w:noWrap w:val="0"/>
            <w:vAlign w:val="top"/>
          </w:tcPr>
          <w:p w14:paraId="0E2E4AFD">
            <w:pPr>
              <w:widowControl w:val="0"/>
              <w:shd w:val="clear" w:color="auto"/>
              <w:spacing w:line="360" w:lineRule="auto"/>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w:t>
            </w:r>
            <w:r>
              <w:rPr>
                <w:rFonts w:hint="eastAsia" w:ascii="宋体" w:hAnsi="宋体" w:eastAsia="宋体" w:cs="宋体"/>
                <w:color w:val="auto"/>
                <w:kern w:val="0"/>
                <w:sz w:val="21"/>
                <w:szCs w:val="21"/>
                <w:highlight w:val="none"/>
                <w:u w:val="single"/>
                <w:lang w:val="en-US" w:eastAsia="zh-CN" w:bidi="ar-SA"/>
              </w:rPr>
              <w:t xml:space="preserve">                                     </w:t>
            </w:r>
          </w:p>
        </w:tc>
      </w:tr>
      <w:tr w14:paraId="4BEB5019">
        <w:trPr>
          <w:trHeight w:val="306" w:hRule="atLeast"/>
        </w:trPr>
        <w:tc>
          <w:tcPr>
            <w:tcW w:w="2471" w:type="pct"/>
            <w:noWrap w:val="0"/>
            <w:vAlign w:val="top"/>
          </w:tcPr>
          <w:p w14:paraId="6F15BCD3">
            <w:pPr>
              <w:widowControl w:val="0"/>
              <w:shd w:val="clear" w:color="auto"/>
              <w:spacing w:line="360" w:lineRule="auto"/>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邮政编码：</w:t>
            </w:r>
            <w:r>
              <w:rPr>
                <w:rFonts w:hint="eastAsia" w:ascii="宋体" w:hAnsi="宋体" w:eastAsia="宋体" w:cs="宋体"/>
                <w:color w:val="auto"/>
                <w:kern w:val="0"/>
                <w:sz w:val="21"/>
                <w:szCs w:val="21"/>
                <w:highlight w:val="none"/>
                <w:u w:val="single"/>
                <w:lang w:val="en-US" w:eastAsia="zh-CN" w:bidi="ar-SA"/>
              </w:rPr>
              <w:t xml:space="preserve">                  </w:t>
            </w:r>
          </w:p>
        </w:tc>
        <w:tc>
          <w:tcPr>
            <w:tcW w:w="2528" w:type="pct"/>
            <w:noWrap w:val="0"/>
            <w:vAlign w:val="top"/>
          </w:tcPr>
          <w:p w14:paraId="1803021C">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662A2A27">
        <w:tc>
          <w:tcPr>
            <w:tcW w:w="2471" w:type="pct"/>
            <w:noWrap w:val="0"/>
            <w:vAlign w:val="top"/>
          </w:tcPr>
          <w:p w14:paraId="4E2DBB69">
            <w:pPr>
              <w:widowControl w:val="0"/>
              <w:shd w:val="clear" w:color="auto"/>
              <w:spacing w:line="360" w:lineRule="auto"/>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电子信箱：</w:t>
            </w:r>
            <w:r>
              <w:rPr>
                <w:rFonts w:hint="eastAsia" w:ascii="宋体" w:hAnsi="宋体" w:eastAsia="宋体" w:cs="宋体"/>
                <w:color w:val="auto"/>
                <w:kern w:val="0"/>
                <w:sz w:val="21"/>
                <w:szCs w:val="21"/>
                <w:highlight w:val="none"/>
                <w:u w:val="single"/>
                <w:lang w:val="en-US" w:eastAsia="zh-CN" w:bidi="ar-SA"/>
              </w:rPr>
              <w:t xml:space="preserve">                  </w:t>
            </w:r>
          </w:p>
        </w:tc>
        <w:tc>
          <w:tcPr>
            <w:tcW w:w="2528" w:type="pct"/>
            <w:noWrap w:val="0"/>
            <w:vAlign w:val="top"/>
          </w:tcPr>
          <w:p w14:paraId="7F5A4E42">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2510BDFE">
        <w:tc>
          <w:tcPr>
            <w:tcW w:w="5000" w:type="pct"/>
            <w:gridSpan w:val="2"/>
            <w:noWrap w:val="0"/>
            <w:vAlign w:val="top"/>
          </w:tcPr>
          <w:p w14:paraId="2814D313">
            <w:pPr>
              <w:widowControl w:val="0"/>
              <w:shd w:val="clear" w:color="auto"/>
              <w:spacing w:line="360" w:lineRule="auto"/>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开户银行：</w:t>
            </w:r>
            <w:r>
              <w:rPr>
                <w:rFonts w:hint="eastAsia" w:ascii="宋体" w:hAnsi="宋体" w:eastAsia="宋体" w:cs="宋体"/>
                <w:color w:val="auto"/>
                <w:kern w:val="0"/>
                <w:sz w:val="21"/>
                <w:szCs w:val="21"/>
                <w:highlight w:val="none"/>
                <w:u w:val="single"/>
                <w:lang w:val="en-US" w:eastAsia="zh-CN" w:bidi="ar-SA"/>
              </w:rPr>
              <w:t xml:space="preserve">                 </w:t>
            </w:r>
          </w:p>
        </w:tc>
      </w:tr>
      <w:tr w14:paraId="334977BA">
        <w:tc>
          <w:tcPr>
            <w:tcW w:w="2471" w:type="pct"/>
            <w:noWrap w:val="0"/>
            <w:vAlign w:val="top"/>
          </w:tcPr>
          <w:p w14:paraId="3A0701FB">
            <w:pPr>
              <w:widowControl w:val="0"/>
              <w:shd w:val="clear" w:color="auto"/>
              <w:spacing w:line="360" w:lineRule="auto"/>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账号：</w:t>
            </w:r>
            <w:r>
              <w:rPr>
                <w:rFonts w:hint="eastAsia" w:ascii="宋体" w:hAnsi="宋体" w:eastAsia="宋体" w:cs="宋体"/>
                <w:color w:val="auto"/>
                <w:kern w:val="0"/>
                <w:sz w:val="21"/>
                <w:szCs w:val="21"/>
                <w:highlight w:val="none"/>
                <w:u w:val="single"/>
                <w:lang w:val="en-US" w:eastAsia="zh-CN" w:bidi="ar-SA"/>
              </w:rPr>
              <w:t xml:space="preserve">                     </w:t>
            </w:r>
          </w:p>
        </w:tc>
        <w:tc>
          <w:tcPr>
            <w:tcW w:w="2528" w:type="pct"/>
            <w:noWrap w:val="0"/>
            <w:vAlign w:val="top"/>
          </w:tcPr>
          <w:p w14:paraId="1BF7F6B4">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2CE217AD">
        <w:trPr>
          <w:trHeight w:val="118" w:hRule="atLeast"/>
        </w:trPr>
        <w:tc>
          <w:tcPr>
            <w:tcW w:w="2471" w:type="pct"/>
            <w:noWrap w:val="0"/>
            <w:vAlign w:val="top"/>
          </w:tcPr>
          <w:p w14:paraId="5DBEA74C">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c>
          <w:tcPr>
            <w:tcW w:w="2528" w:type="pct"/>
            <w:noWrap w:val="0"/>
            <w:vAlign w:val="top"/>
          </w:tcPr>
          <w:p w14:paraId="7790A32A">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6A992AF0">
        <w:trPr>
          <w:trHeight w:val="118" w:hRule="atLeast"/>
        </w:trPr>
        <w:tc>
          <w:tcPr>
            <w:tcW w:w="2471" w:type="pct"/>
            <w:noWrap w:val="0"/>
            <w:vAlign w:val="top"/>
          </w:tcPr>
          <w:p w14:paraId="5B87FEA8">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c>
          <w:tcPr>
            <w:tcW w:w="2528" w:type="pct"/>
            <w:noWrap w:val="0"/>
            <w:vAlign w:val="top"/>
          </w:tcPr>
          <w:p w14:paraId="706567B2">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0CE1172E">
        <w:trPr>
          <w:trHeight w:val="380" w:hRule="atLeast"/>
        </w:trPr>
        <w:tc>
          <w:tcPr>
            <w:tcW w:w="5000" w:type="pct"/>
            <w:gridSpan w:val="2"/>
            <w:noWrap w:val="0"/>
            <w:vAlign w:val="top"/>
          </w:tcPr>
          <w:p w14:paraId="54683DFC">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咨询人：</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（公章）</w:t>
            </w:r>
          </w:p>
        </w:tc>
      </w:tr>
      <w:tr w14:paraId="08D940D4">
        <w:trPr>
          <w:trHeight w:val="536" w:hRule="atLeast"/>
        </w:trPr>
        <w:tc>
          <w:tcPr>
            <w:tcW w:w="5000" w:type="pct"/>
            <w:gridSpan w:val="2"/>
            <w:noWrap w:val="0"/>
            <w:vAlign w:val="top"/>
          </w:tcPr>
          <w:p w14:paraId="5D2B84C9">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法定代表人或其委托代理人：</w:t>
            </w:r>
          </w:p>
          <w:p w14:paraId="15A3F36A">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（签字或盖章）</w:t>
            </w:r>
          </w:p>
        </w:tc>
      </w:tr>
      <w:tr w14:paraId="1BA5E4C0">
        <w:tc>
          <w:tcPr>
            <w:tcW w:w="5000" w:type="pct"/>
            <w:gridSpan w:val="2"/>
            <w:noWrap w:val="0"/>
            <w:vAlign w:val="top"/>
          </w:tcPr>
          <w:p w14:paraId="2D8811C4">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p>
        </w:tc>
      </w:tr>
      <w:tr w14:paraId="0D20BB11">
        <w:tc>
          <w:tcPr>
            <w:tcW w:w="5000" w:type="pct"/>
            <w:gridSpan w:val="2"/>
            <w:noWrap w:val="0"/>
            <w:vAlign w:val="top"/>
          </w:tcPr>
          <w:p w14:paraId="3759DFBE">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eastAsia="zh-CN" w:bidi="ar-SA"/>
              </w:rPr>
              <w:t>地址：</w:t>
            </w:r>
            <w:r>
              <w:rPr>
                <w:rFonts w:hint="eastAsia" w:ascii="宋体" w:hAnsi="宋体" w:eastAsia="宋体" w:cs="宋体"/>
                <w:color w:val="auto"/>
                <w:kern w:val="0"/>
                <w:sz w:val="21"/>
                <w:szCs w:val="21"/>
                <w:highlight w:val="none"/>
                <w:u w:val="single"/>
                <w:lang w:val="en-US" w:eastAsia="zh-CN" w:bidi="ar-SA"/>
              </w:rPr>
              <w:t xml:space="preserve">                                 </w:t>
            </w:r>
          </w:p>
        </w:tc>
      </w:tr>
      <w:tr w14:paraId="44E6B6F8">
        <w:tc>
          <w:tcPr>
            <w:tcW w:w="5000" w:type="pct"/>
            <w:gridSpan w:val="2"/>
            <w:noWrap w:val="0"/>
            <w:vAlign w:val="top"/>
          </w:tcPr>
          <w:p w14:paraId="4E4A555A">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邮政编码：</w:t>
            </w:r>
            <w:r>
              <w:rPr>
                <w:rFonts w:hint="eastAsia" w:ascii="宋体" w:hAnsi="宋体" w:eastAsia="宋体" w:cs="宋体"/>
                <w:color w:val="auto"/>
                <w:kern w:val="0"/>
                <w:sz w:val="21"/>
                <w:szCs w:val="21"/>
                <w:highlight w:val="none"/>
                <w:u w:val="single"/>
                <w:lang w:val="en-US" w:eastAsia="zh-CN" w:bidi="ar-SA"/>
              </w:rPr>
              <w:t xml:space="preserve">                    </w:t>
            </w:r>
          </w:p>
        </w:tc>
      </w:tr>
      <w:tr w14:paraId="6A0DDB3E">
        <w:tc>
          <w:tcPr>
            <w:tcW w:w="5000" w:type="pct"/>
            <w:gridSpan w:val="2"/>
            <w:noWrap w:val="0"/>
            <w:vAlign w:val="top"/>
          </w:tcPr>
          <w:p w14:paraId="653B7FF9">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电子信箱：/</w:t>
            </w:r>
          </w:p>
        </w:tc>
      </w:tr>
      <w:tr w14:paraId="414A2547">
        <w:tc>
          <w:tcPr>
            <w:tcW w:w="5000" w:type="pct"/>
            <w:gridSpan w:val="2"/>
            <w:noWrap w:val="0"/>
            <w:vAlign w:val="top"/>
          </w:tcPr>
          <w:p w14:paraId="58B45BAF">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开户银行：</w:t>
            </w:r>
            <w:r>
              <w:rPr>
                <w:rFonts w:hint="eastAsia" w:ascii="宋体" w:hAnsi="宋体" w:eastAsia="宋体" w:cs="宋体"/>
                <w:color w:val="auto"/>
                <w:kern w:val="0"/>
                <w:sz w:val="21"/>
                <w:szCs w:val="21"/>
                <w:highlight w:val="none"/>
                <w:u w:val="single"/>
                <w:lang w:val="en-US" w:eastAsia="zh-CN" w:bidi="ar-SA"/>
              </w:rPr>
              <w:t xml:space="preserve">                     </w:t>
            </w:r>
          </w:p>
        </w:tc>
      </w:tr>
      <w:tr w14:paraId="05971EEB">
        <w:tc>
          <w:tcPr>
            <w:tcW w:w="5000" w:type="pct"/>
            <w:gridSpan w:val="2"/>
            <w:noWrap w:val="0"/>
            <w:vAlign w:val="top"/>
          </w:tcPr>
          <w:p w14:paraId="7921FBEC">
            <w:pPr>
              <w:widowControl w:val="0"/>
              <w:shd w:val="clear" w:color="auto"/>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账号：</w:t>
            </w:r>
            <w:r>
              <w:rPr>
                <w:rFonts w:hint="eastAsia" w:ascii="宋体" w:hAnsi="宋体" w:eastAsia="宋体" w:cs="宋体"/>
                <w:color w:val="auto"/>
                <w:kern w:val="0"/>
                <w:sz w:val="21"/>
                <w:szCs w:val="21"/>
                <w:highlight w:val="none"/>
                <w:u w:val="single"/>
                <w:lang w:val="en-US" w:eastAsia="zh-CN" w:bidi="ar-SA"/>
              </w:rPr>
              <w:t xml:space="preserve">                  </w:t>
            </w:r>
          </w:p>
        </w:tc>
      </w:tr>
      <w:tr w14:paraId="51C81079">
        <w:tc>
          <w:tcPr>
            <w:tcW w:w="5000" w:type="pct"/>
            <w:gridSpan w:val="2"/>
            <w:noWrap w:val="0"/>
            <w:vAlign w:val="top"/>
          </w:tcPr>
          <w:p w14:paraId="3FD8062E">
            <w:pPr>
              <w:widowControl w:val="0"/>
              <w:shd w:val="clear" w:color="auto"/>
              <w:spacing w:line="360" w:lineRule="auto"/>
              <w:ind w:firstLine="5040" w:firstLineChars="2400"/>
              <w:jc w:val="both"/>
              <w:rPr>
                <w:rFonts w:hint="eastAsia" w:ascii="宋体" w:hAnsi="宋体" w:eastAsia="宋体" w:cs="宋体"/>
                <w:color w:val="auto"/>
                <w:kern w:val="0"/>
                <w:sz w:val="21"/>
                <w:szCs w:val="21"/>
                <w:highlight w:val="none"/>
                <w:lang w:val="en-US" w:eastAsia="zh-CN" w:bidi="ar-SA"/>
              </w:rPr>
            </w:pPr>
          </w:p>
        </w:tc>
      </w:tr>
      <w:tr w14:paraId="64FCBA5E">
        <w:tc>
          <w:tcPr>
            <w:tcW w:w="5000" w:type="pct"/>
            <w:gridSpan w:val="2"/>
            <w:noWrap w:val="0"/>
            <w:vAlign w:val="top"/>
          </w:tcPr>
          <w:p w14:paraId="4B1C99F6">
            <w:pPr>
              <w:widowControl w:val="0"/>
              <w:shd w:val="clear" w:color="auto"/>
              <w:spacing w:line="360" w:lineRule="auto"/>
              <w:ind w:firstLine="5040" w:firstLineChars="2400"/>
              <w:jc w:val="both"/>
              <w:rPr>
                <w:rFonts w:hint="eastAsia" w:ascii="宋体" w:hAnsi="宋体" w:eastAsia="宋体" w:cs="宋体"/>
                <w:color w:val="auto"/>
                <w:kern w:val="0"/>
                <w:sz w:val="21"/>
                <w:szCs w:val="21"/>
                <w:highlight w:val="none"/>
                <w:lang w:val="en-US" w:eastAsia="zh-CN" w:bidi="ar-SA"/>
              </w:rPr>
            </w:pPr>
          </w:p>
        </w:tc>
      </w:tr>
      <w:tr w14:paraId="4789C5A9">
        <w:tc>
          <w:tcPr>
            <w:tcW w:w="5000" w:type="pct"/>
            <w:gridSpan w:val="2"/>
            <w:noWrap w:val="0"/>
            <w:vAlign w:val="top"/>
          </w:tcPr>
          <w:p w14:paraId="27CB8CC5">
            <w:pPr>
              <w:widowControl w:val="0"/>
              <w:shd w:val="clear" w:color="auto"/>
              <w:spacing w:line="360" w:lineRule="auto"/>
              <w:ind w:firstLine="5040" w:firstLineChars="2400"/>
              <w:jc w:val="both"/>
              <w:rPr>
                <w:rFonts w:hint="eastAsia" w:ascii="宋体" w:hAnsi="宋体" w:eastAsia="宋体" w:cs="宋体"/>
                <w:color w:val="auto"/>
                <w:kern w:val="0"/>
                <w:sz w:val="21"/>
                <w:szCs w:val="21"/>
                <w:highlight w:val="none"/>
                <w:lang w:val="en-US" w:eastAsia="zh-CN" w:bidi="ar-SA"/>
              </w:rPr>
            </w:pPr>
          </w:p>
        </w:tc>
      </w:tr>
      <w:tr w14:paraId="60D7B40B">
        <w:tc>
          <w:tcPr>
            <w:tcW w:w="5000" w:type="pct"/>
            <w:gridSpan w:val="2"/>
            <w:noWrap w:val="0"/>
            <w:vAlign w:val="top"/>
          </w:tcPr>
          <w:p w14:paraId="51277DF6">
            <w:pPr>
              <w:widowControl w:val="0"/>
              <w:shd w:val="clear" w:color="auto"/>
              <w:spacing w:line="360" w:lineRule="auto"/>
              <w:ind w:firstLine="5040" w:firstLineChars="2400"/>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签署日期：202  年    月    日</w:t>
            </w:r>
          </w:p>
        </w:tc>
      </w:tr>
    </w:tbl>
    <w:p w14:paraId="5095A37F">
      <w:pPr>
        <w:keepNext/>
        <w:widowControl w:val="0"/>
        <w:shd w:val="clear" w:color="auto"/>
        <w:spacing w:line="420" w:lineRule="atLeast"/>
        <w:jc w:val="both"/>
        <w:outlineLvl w:val="0"/>
        <w:rPr>
          <w:rFonts w:hint="eastAsia" w:ascii="Times New Roman" w:hAnsi="Times New Roman" w:eastAsia="宋体" w:cs="Times New Roman"/>
          <w:b/>
          <w:bCs/>
          <w:color w:val="auto"/>
          <w:kern w:val="2"/>
          <w:sz w:val="28"/>
          <w:szCs w:val="28"/>
          <w:highlight w:val="none"/>
          <w:lang w:val="en-US" w:eastAsia="zh-CN" w:bidi="ar-SA"/>
        </w:rPr>
      </w:pPr>
      <w:r>
        <w:rPr>
          <w:rFonts w:hint="eastAsia" w:ascii="宋体" w:hAnsi="Times New Roman" w:eastAsia="宋体" w:cs="Times New Roman"/>
          <w:color w:val="auto"/>
          <w:kern w:val="2"/>
          <w:sz w:val="30"/>
          <w:szCs w:val="30"/>
          <w:highlight w:val="none"/>
          <w:lang w:val="en-US" w:eastAsia="zh-CN" w:bidi="ar-SA"/>
        </w:rPr>
        <w:br w:type="page"/>
      </w:r>
      <w:r>
        <w:rPr>
          <w:rFonts w:hint="eastAsia" w:ascii="Times New Roman" w:hAnsi="Times New Roman" w:eastAsia="宋体" w:cs="Times New Roman"/>
          <w:b/>
          <w:bCs/>
          <w:color w:val="auto"/>
          <w:kern w:val="2"/>
          <w:sz w:val="28"/>
          <w:szCs w:val="28"/>
          <w:highlight w:val="none"/>
          <w:lang w:val="en-US" w:eastAsia="zh-CN" w:bidi="ar-SA"/>
        </w:rPr>
        <w:t>第二部分　通用条款</w:t>
      </w:r>
      <w:bookmarkEnd w:id="113"/>
      <w:bookmarkEnd w:id="114"/>
    </w:p>
    <w:p w14:paraId="59A8BD5C">
      <w:pPr>
        <w:shd w:val="clear" w:color="auto"/>
        <w:jc w:val="center"/>
        <w:rPr>
          <w:rFonts w:hint="eastAsia" w:ascii="宋体" w:hAnsi="宋体" w:eastAsia="宋体" w:cs="宋体"/>
          <w:b/>
          <w:bCs/>
          <w:color w:val="auto"/>
          <w:sz w:val="24"/>
          <w:szCs w:val="22"/>
          <w:highlight w:val="none"/>
          <w:lang w:eastAsia="zh-CN"/>
        </w:rPr>
      </w:pPr>
      <w:bookmarkStart w:id="115" w:name="_Toc422322521"/>
      <w:bookmarkStart w:id="116" w:name="_Toc419045098"/>
      <w:r>
        <w:rPr>
          <w:rFonts w:hint="eastAsia" w:ascii="宋体" w:hAnsi="宋体" w:eastAsia="宋体" w:cs="宋体"/>
          <w:b/>
          <w:bCs/>
          <w:color w:val="auto"/>
          <w:sz w:val="24"/>
          <w:szCs w:val="22"/>
          <w:highlight w:val="none"/>
          <w:lang w:eastAsia="zh-CN"/>
        </w:rPr>
        <w:t>采用《建设工程造价咨询合同（示范文本）》（GF—2015—0212）。</w:t>
      </w:r>
    </w:p>
    <w:p w14:paraId="30108E7D">
      <w:pPr>
        <w:widowControl w:val="0"/>
        <w:shd w:val="clear" w:color="auto"/>
        <w:spacing w:after="120"/>
        <w:jc w:val="both"/>
        <w:rPr>
          <w:rFonts w:hint="eastAsia" w:ascii="Times New Roman" w:hAnsi="Times New Roman" w:eastAsia="宋体" w:cs="Times New Roman"/>
          <w:color w:val="auto"/>
          <w:kern w:val="2"/>
          <w:sz w:val="28"/>
          <w:szCs w:val="24"/>
          <w:highlight w:val="none"/>
          <w:lang w:val="en-US" w:eastAsia="zh-CN" w:bidi="ar-SA"/>
        </w:rPr>
      </w:pPr>
    </w:p>
    <w:p w14:paraId="28F20952">
      <w:pPr>
        <w:widowControl w:val="0"/>
        <w:shd w:val="clear" w:color="auto"/>
        <w:spacing w:after="120" w:line="240" w:lineRule="auto"/>
        <w:ind w:firstLine="280" w:firstLineChars="100"/>
        <w:jc w:val="both"/>
        <w:rPr>
          <w:rFonts w:hint="eastAsia" w:ascii="Times New Roman" w:hAnsi="Times New Roman" w:eastAsia="宋体" w:cs="Times New Roman"/>
          <w:color w:val="auto"/>
          <w:kern w:val="2"/>
          <w:sz w:val="28"/>
          <w:szCs w:val="24"/>
          <w:highlight w:val="none"/>
          <w:lang w:val="en-US" w:eastAsia="zh-CN" w:bidi="ar-SA"/>
        </w:rPr>
      </w:pPr>
    </w:p>
    <w:p w14:paraId="2FE547AE">
      <w:pPr>
        <w:widowControl w:val="0"/>
        <w:shd w:val="clear" w:color="auto"/>
        <w:spacing w:after="120" w:line="240" w:lineRule="auto"/>
        <w:ind w:firstLine="280" w:firstLineChars="100"/>
        <w:jc w:val="both"/>
        <w:rPr>
          <w:rFonts w:hint="eastAsia" w:ascii="Times New Roman" w:hAnsi="Times New Roman" w:eastAsia="宋体" w:cs="Times New Roman"/>
          <w:color w:val="auto"/>
          <w:kern w:val="2"/>
          <w:sz w:val="28"/>
          <w:szCs w:val="24"/>
          <w:highlight w:val="none"/>
          <w:lang w:val="en-US" w:eastAsia="zh-CN" w:bidi="ar-SA"/>
        </w:rPr>
      </w:pPr>
    </w:p>
    <w:p w14:paraId="1F657217">
      <w:pPr>
        <w:widowControl w:val="0"/>
        <w:shd w:val="clear" w:color="auto"/>
        <w:spacing w:after="120" w:line="240" w:lineRule="auto"/>
        <w:ind w:firstLine="280" w:firstLineChars="100"/>
        <w:jc w:val="both"/>
        <w:rPr>
          <w:rFonts w:hint="eastAsia" w:ascii="Times New Roman" w:hAnsi="Times New Roman" w:eastAsia="宋体" w:cs="Times New Roman"/>
          <w:color w:val="auto"/>
          <w:kern w:val="2"/>
          <w:sz w:val="28"/>
          <w:szCs w:val="24"/>
          <w:highlight w:val="none"/>
          <w:lang w:val="en-US" w:eastAsia="zh-CN" w:bidi="ar-SA"/>
        </w:rPr>
      </w:pPr>
    </w:p>
    <w:p w14:paraId="12442C0D">
      <w:pPr>
        <w:widowControl w:val="0"/>
        <w:shd w:val="clear" w:color="auto"/>
        <w:spacing w:after="120" w:line="240" w:lineRule="auto"/>
        <w:ind w:firstLine="280" w:firstLineChars="100"/>
        <w:jc w:val="both"/>
        <w:rPr>
          <w:rFonts w:hint="eastAsia" w:ascii="Times New Roman" w:hAnsi="Times New Roman" w:eastAsia="宋体" w:cs="Times New Roman"/>
          <w:color w:val="auto"/>
          <w:kern w:val="2"/>
          <w:sz w:val="28"/>
          <w:szCs w:val="24"/>
          <w:highlight w:val="none"/>
          <w:lang w:val="en-US" w:eastAsia="zh-CN" w:bidi="ar-SA"/>
        </w:rPr>
      </w:pPr>
    </w:p>
    <w:p w14:paraId="0F155931">
      <w:pPr>
        <w:keepNext/>
        <w:widowControl w:val="0"/>
        <w:shd w:val="clear" w:color="auto"/>
        <w:spacing w:line="420" w:lineRule="atLeast"/>
        <w:jc w:val="center"/>
        <w:outlineLvl w:val="0"/>
        <w:rPr>
          <w:rFonts w:hint="eastAsia" w:ascii="Times New Roman" w:hAnsi="Times New Roman" w:eastAsia="宋体" w:cs="Times New Roman"/>
          <w:b/>
          <w:bCs/>
          <w:color w:val="auto"/>
          <w:kern w:val="2"/>
          <w:sz w:val="28"/>
          <w:szCs w:val="28"/>
          <w:highlight w:val="none"/>
          <w:lang w:val="en-US" w:eastAsia="zh-CN" w:bidi="ar-SA"/>
        </w:rPr>
      </w:pPr>
      <w:r>
        <w:rPr>
          <w:rFonts w:hint="eastAsia" w:ascii="宋体" w:hAnsi="Times New Roman" w:eastAsia="宋体" w:cs="Times New Roman"/>
          <w:b/>
          <w:bCs/>
          <w:color w:val="auto"/>
          <w:kern w:val="2"/>
          <w:sz w:val="30"/>
          <w:szCs w:val="30"/>
          <w:highlight w:val="none"/>
          <w:lang w:val="en-US" w:eastAsia="zh-CN" w:bidi="ar-SA"/>
        </w:rPr>
        <w:br w:type="page"/>
      </w:r>
      <w:r>
        <w:rPr>
          <w:rFonts w:hint="eastAsia" w:ascii="Times New Roman" w:hAnsi="Times New Roman" w:eastAsia="宋体" w:cs="Times New Roman"/>
          <w:b/>
          <w:bCs/>
          <w:color w:val="auto"/>
          <w:kern w:val="2"/>
          <w:sz w:val="28"/>
          <w:szCs w:val="28"/>
          <w:highlight w:val="none"/>
          <w:lang w:val="en-US" w:eastAsia="zh-CN" w:bidi="ar-SA"/>
        </w:rPr>
        <w:t>第三部分　专用</w:t>
      </w:r>
      <w:bookmarkEnd w:id="115"/>
      <w:bookmarkEnd w:id="116"/>
      <w:bookmarkStart w:id="117" w:name="45"/>
      <w:r>
        <w:rPr>
          <w:rFonts w:hint="eastAsia" w:ascii="Times New Roman" w:hAnsi="Times New Roman" w:eastAsia="宋体" w:cs="Times New Roman"/>
          <w:b/>
          <w:bCs/>
          <w:color w:val="auto"/>
          <w:kern w:val="2"/>
          <w:sz w:val="28"/>
          <w:szCs w:val="28"/>
          <w:highlight w:val="none"/>
          <w:lang w:val="en-US" w:eastAsia="zh-CN" w:bidi="ar-SA"/>
        </w:rPr>
        <w:t>条款</w:t>
      </w:r>
    </w:p>
    <w:bookmarkEnd w:id="117"/>
    <w:p w14:paraId="6437E04D">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18" w:name="_Toc422322522"/>
      <w:bookmarkStart w:id="119" w:name="_Toc419045099"/>
      <w:r>
        <w:rPr>
          <w:rFonts w:hint="eastAsia" w:ascii="宋体" w:hAnsi="宋体" w:eastAsia="宋体" w:cs="宋体"/>
          <w:b/>
          <w:color w:val="auto"/>
          <w:kern w:val="0"/>
          <w:sz w:val="21"/>
          <w:szCs w:val="21"/>
          <w:highlight w:val="none"/>
          <w:lang w:val="en-US" w:eastAsia="zh-CN" w:bidi="ar-SA"/>
        </w:rPr>
        <w:t>1.词语定义、语言、解释顺序与适用法律</w:t>
      </w:r>
      <w:bookmarkEnd w:id="118"/>
      <w:bookmarkEnd w:id="119"/>
    </w:p>
    <w:p w14:paraId="7A9C7399">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20" w:name="_Toc422322524"/>
      <w:bookmarkStart w:id="121" w:name="_Toc419045101"/>
      <w:r>
        <w:rPr>
          <w:rFonts w:hint="eastAsia" w:ascii="宋体" w:hAnsi="宋体" w:eastAsia="宋体" w:cs="宋体"/>
          <w:color w:val="auto"/>
          <w:sz w:val="21"/>
          <w:szCs w:val="21"/>
          <w:highlight w:val="none"/>
          <w:lang w:val="en-US" w:eastAsia="zh-CN" w:bidi="ar-SA"/>
        </w:rPr>
        <w:t>1.2 语言</w:t>
      </w:r>
      <w:bookmarkEnd w:id="120"/>
      <w:bookmarkEnd w:id="121"/>
    </w:p>
    <w:p w14:paraId="3E83C0BB">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本合同文件除使用中文外，还可用</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40E0816">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22" w:name="_Toc422322525"/>
      <w:r>
        <w:rPr>
          <w:rFonts w:hint="eastAsia" w:ascii="宋体" w:hAnsi="宋体" w:eastAsia="宋体" w:cs="宋体"/>
          <w:color w:val="auto"/>
          <w:sz w:val="21"/>
          <w:szCs w:val="21"/>
          <w:highlight w:val="none"/>
          <w:lang w:val="en-US" w:eastAsia="zh-CN" w:bidi="ar-SA"/>
        </w:rPr>
        <w:t>1.3合同文件的优先顺序</w:t>
      </w:r>
      <w:bookmarkEnd w:id="122"/>
    </w:p>
    <w:p w14:paraId="7AA5B179">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本合同文件的解释顺序为：</w:t>
      </w:r>
      <w:r>
        <w:rPr>
          <w:rFonts w:hint="eastAsia" w:ascii="宋体" w:hAnsi="宋体" w:eastAsia="宋体" w:cs="宋体"/>
          <w:color w:val="auto"/>
          <w:sz w:val="21"/>
          <w:szCs w:val="21"/>
          <w:highlight w:val="none"/>
          <w:u w:val="single"/>
        </w:rPr>
        <w:t xml:space="preserve"> 按通用条款</w:t>
      </w:r>
      <w:r>
        <w:rPr>
          <w:rFonts w:hint="eastAsia" w:ascii="宋体" w:hAnsi="宋体" w:eastAsia="宋体" w:cs="宋体"/>
          <w:color w:val="auto"/>
          <w:sz w:val="21"/>
          <w:szCs w:val="21"/>
          <w:highlight w:val="none"/>
        </w:rPr>
        <w:t>。</w:t>
      </w:r>
    </w:p>
    <w:p w14:paraId="3C5EF62B">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1.4适用法律</w:t>
      </w:r>
    </w:p>
    <w:p w14:paraId="264C1017">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本合同适用的其他规范性文件包括: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A80A5F5">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23" w:name="_Toc422322527"/>
      <w:bookmarkStart w:id="124" w:name="_Toc419045103"/>
      <w:r>
        <w:rPr>
          <w:rFonts w:hint="eastAsia" w:ascii="宋体" w:hAnsi="宋体" w:eastAsia="宋体" w:cs="宋体"/>
          <w:b/>
          <w:color w:val="auto"/>
          <w:kern w:val="0"/>
          <w:sz w:val="21"/>
          <w:szCs w:val="21"/>
          <w:highlight w:val="none"/>
          <w:lang w:val="en-US" w:eastAsia="zh-CN" w:bidi="ar-SA"/>
        </w:rPr>
        <w:t>2.委托人的义务</w:t>
      </w:r>
      <w:bookmarkEnd w:id="123"/>
      <w:bookmarkEnd w:id="124"/>
    </w:p>
    <w:p w14:paraId="695E6596">
      <w:pPr>
        <w:keepNext w:val="0"/>
        <w:keepLines w:val="0"/>
        <w:pageBreakBefore w:val="0"/>
        <w:shd w:val="clear" w:color="auto"/>
        <w:topLinePunct w:val="0"/>
        <w:autoSpaceDE/>
        <w:autoSpaceDN/>
        <w:bidi w:val="0"/>
        <w:adjustRightInd/>
        <w:snapToGrid/>
        <w:spacing w:line="400" w:lineRule="exact"/>
        <w:ind w:firstLine="420" w:firstLineChars="200"/>
        <w:outlineLvl w:val="1"/>
        <w:rPr>
          <w:rFonts w:hint="eastAsia" w:ascii="宋体" w:hAnsi="宋体" w:eastAsia="宋体" w:cs="宋体"/>
          <w:color w:val="auto"/>
          <w:sz w:val="21"/>
          <w:szCs w:val="21"/>
          <w:highlight w:val="none"/>
        </w:rPr>
      </w:pPr>
      <w:bookmarkStart w:id="125" w:name="_Toc419045104"/>
      <w:bookmarkStart w:id="126" w:name="_Toc422322528"/>
      <w:r>
        <w:rPr>
          <w:rFonts w:hint="eastAsia" w:ascii="宋体" w:hAnsi="宋体" w:eastAsia="宋体" w:cs="宋体"/>
          <w:color w:val="auto"/>
          <w:sz w:val="21"/>
          <w:szCs w:val="21"/>
          <w:highlight w:val="none"/>
        </w:rPr>
        <w:t>2.1提供资料</w:t>
      </w:r>
      <w:bookmarkEnd w:id="125"/>
      <w:bookmarkEnd w:id="126"/>
    </w:p>
    <w:p w14:paraId="6D74B056">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按照约定无偿向</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 xml:space="preserve">提供与本合同咨询业务有关资料的时间为：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双方</w:t>
      </w:r>
      <w:r>
        <w:rPr>
          <w:rFonts w:hint="eastAsia" w:ascii="宋体" w:hAnsi="宋体" w:eastAsia="宋体" w:cs="宋体"/>
          <w:color w:val="auto"/>
          <w:sz w:val="21"/>
          <w:szCs w:val="21"/>
          <w:highlight w:val="none"/>
          <w:u w:val="single"/>
        </w:rPr>
        <w:t xml:space="preserve">协商  </w:t>
      </w:r>
      <w:r>
        <w:rPr>
          <w:rFonts w:hint="eastAsia" w:ascii="宋体" w:hAnsi="宋体" w:eastAsia="宋体" w:cs="宋体"/>
          <w:color w:val="auto"/>
          <w:sz w:val="21"/>
          <w:szCs w:val="21"/>
          <w:highlight w:val="none"/>
        </w:rPr>
        <w:t>。</w:t>
      </w:r>
    </w:p>
    <w:p w14:paraId="58168CFF">
      <w:pPr>
        <w:shd w:val="clear"/>
        <w:spacing w:line="520" w:lineRule="exact"/>
        <w:ind w:firstLine="430" w:firstLineChars="205"/>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2.2</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组织并严格监督</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与施工单位对结算（或招标控制价）初稿进行核对确认，如发现</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与施工方有串通作弊行为</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例如向施工单位人员提供手机号码或擅自接收施工单位提供的未经</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审核的资料等情况</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有权取消</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对该工程</w:t>
      </w:r>
      <w:r>
        <w:rPr>
          <w:rFonts w:hint="eastAsia" w:ascii="宋体" w:hAnsi="宋体" w:eastAsia="宋体" w:cs="Times New Roman"/>
          <w:color w:val="auto"/>
          <w:sz w:val="21"/>
          <w:szCs w:val="21"/>
          <w:highlight w:val="none"/>
          <w:lang w:eastAsia="zh-CN"/>
        </w:rPr>
        <w:t>项目</w:t>
      </w:r>
      <w:r>
        <w:rPr>
          <w:rFonts w:hint="eastAsia" w:ascii="宋体" w:hAnsi="宋体" w:eastAsia="宋体" w:cs="Times New Roman"/>
          <w:color w:val="auto"/>
          <w:sz w:val="21"/>
          <w:szCs w:val="21"/>
          <w:highlight w:val="none"/>
        </w:rPr>
        <w:t>及合同期内全部工程的造价咨询服务资格</w:t>
      </w:r>
      <w:r>
        <w:rPr>
          <w:rFonts w:hint="eastAsia" w:ascii="宋体" w:hAnsi="宋体" w:eastAsia="宋体" w:cs="Times New Roman"/>
          <w:color w:val="auto"/>
          <w:sz w:val="21"/>
          <w:szCs w:val="21"/>
          <w:highlight w:val="none"/>
          <w:lang w:eastAsia="zh-CN"/>
        </w:rPr>
        <w:t>。</w:t>
      </w:r>
    </w:p>
    <w:p w14:paraId="2E118293">
      <w:pPr>
        <w:shd w:val="clear"/>
        <w:spacing w:line="52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2.3</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有权对乙方已确认的成果文件进行复查。</w:t>
      </w:r>
    </w:p>
    <w:p w14:paraId="48302D4A">
      <w:pPr>
        <w:shd w:val="clear"/>
        <w:spacing w:line="52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2.4</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应按约定时间向乙方提交施工图或工程竣工图纸、工程变更签证及与工程预、结算审核相关的资料，并保证资料的完整；</w:t>
      </w:r>
    </w:p>
    <w:p w14:paraId="5F96DB38">
      <w:pPr>
        <w:shd w:val="clear"/>
        <w:spacing w:line="52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2.5</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应为</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工作人员提供必要的工作条件及合作；</w:t>
      </w:r>
    </w:p>
    <w:p w14:paraId="6D31D142">
      <w:pPr>
        <w:shd w:val="clear"/>
        <w:spacing w:line="52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2.6</w:t>
      </w:r>
      <w:r>
        <w:rPr>
          <w:rFonts w:hint="eastAsia" w:ascii="宋体" w:hAnsi="宋体" w:eastAsia="宋体" w:cs="Times New Roman"/>
          <w:color w:val="auto"/>
          <w:sz w:val="21"/>
          <w:szCs w:val="21"/>
          <w:highlight w:val="none"/>
        </w:rPr>
        <w:t>如</w:t>
      </w:r>
      <w:r>
        <w:rPr>
          <w:rFonts w:hint="eastAsia" w:ascii="宋体" w:hAnsi="宋体" w:eastAsia="宋体" w:cs="Times New Roman"/>
          <w:color w:val="auto"/>
          <w:sz w:val="21"/>
          <w:szCs w:val="21"/>
          <w:highlight w:val="none"/>
          <w:lang w:eastAsia="zh-CN"/>
        </w:rPr>
        <w:t>工程</w:t>
      </w:r>
      <w:r>
        <w:rPr>
          <w:rFonts w:hint="eastAsia" w:ascii="宋体" w:hAnsi="宋体" w:eastAsia="宋体" w:cs="Times New Roman"/>
          <w:color w:val="auto"/>
          <w:sz w:val="21"/>
          <w:szCs w:val="21"/>
          <w:highlight w:val="none"/>
        </w:rPr>
        <w:t>项目中途</w:t>
      </w:r>
      <w:r>
        <w:rPr>
          <w:rFonts w:hint="eastAsia" w:ascii="宋体" w:hAnsi="宋体" w:eastAsia="宋体" w:cs="Times New Roman"/>
          <w:color w:val="auto"/>
          <w:sz w:val="21"/>
          <w:szCs w:val="21"/>
          <w:highlight w:val="none"/>
          <w:lang w:eastAsia="zh-CN"/>
        </w:rPr>
        <w:t>如</w:t>
      </w:r>
      <w:r>
        <w:rPr>
          <w:rFonts w:hint="eastAsia" w:ascii="宋体" w:hAnsi="宋体" w:eastAsia="宋体" w:cs="Times New Roman"/>
          <w:color w:val="auto"/>
          <w:sz w:val="21"/>
          <w:szCs w:val="21"/>
          <w:highlight w:val="none"/>
        </w:rPr>
        <w:t>作调整，</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应立即通知</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w:t>
      </w:r>
    </w:p>
    <w:p w14:paraId="1E675702">
      <w:pPr>
        <w:shd w:val="clear"/>
        <w:spacing w:line="520" w:lineRule="exact"/>
        <w:ind w:firstLine="420" w:firstLineChars="200"/>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2.7</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应按合同规定向</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支付咨询服务费。</w:t>
      </w:r>
    </w:p>
    <w:p w14:paraId="650048FB">
      <w:pPr>
        <w:keepNext w:val="0"/>
        <w:keepLines w:val="0"/>
        <w:pageBreakBefore w:val="0"/>
        <w:shd w:val="clear" w:color="auto"/>
        <w:topLinePunct w:val="0"/>
        <w:autoSpaceDE/>
        <w:autoSpaceDN/>
        <w:bidi w:val="0"/>
        <w:adjustRightInd/>
        <w:snapToGrid/>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Times New Roman"/>
          <w:color w:val="auto"/>
          <w:sz w:val="21"/>
          <w:szCs w:val="21"/>
          <w:highlight w:val="none"/>
          <w:lang w:val="en-US" w:eastAsia="zh-CN"/>
        </w:rPr>
        <w:t>2.8</w:t>
      </w:r>
      <w:r>
        <w:rPr>
          <w:rFonts w:hint="eastAsia" w:ascii="宋体" w:hAnsi="宋体" w:eastAsia="宋体" w:cs="Times New Roman"/>
          <w:color w:val="auto"/>
          <w:sz w:val="21"/>
          <w:szCs w:val="21"/>
          <w:highlight w:val="none"/>
        </w:rPr>
        <w:t>如</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出具的审核报告存在弄虚作假等行为造成</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经济损失的，</w:t>
      </w:r>
      <w:r>
        <w:rPr>
          <w:rFonts w:hint="eastAsia" w:ascii="宋体" w:hAnsi="宋体" w:eastAsia="宋体" w:cs="Times New Roman"/>
          <w:color w:val="auto"/>
          <w:sz w:val="21"/>
          <w:szCs w:val="21"/>
          <w:highlight w:val="none"/>
          <w:lang w:eastAsia="zh-CN"/>
        </w:rPr>
        <w:t>委托人</w:t>
      </w:r>
      <w:r>
        <w:rPr>
          <w:rFonts w:hint="eastAsia" w:ascii="宋体" w:hAnsi="宋体" w:eastAsia="宋体" w:cs="Times New Roman"/>
          <w:color w:val="auto"/>
          <w:sz w:val="21"/>
          <w:szCs w:val="21"/>
          <w:highlight w:val="none"/>
        </w:rPr>
        <w:t>有权要求</w:t>
      </w:r>
      <w:r>
        <w:rPr>
          <w:rFonts w:hint="eastAsia" w:ascii="宋体" w:hAnsi="宋体" w:eastAsia="宋体" w:cs="Times New Roman"/>
          <w:color w:val="auto"/>
          <w:sz w:val="21"/>
          <w:szCs w:val="21"/>
          <w:highlight w:val="none"/>
          <w:lang w:eastAsia="zh-CN"/>
        </w:rPr>
        <w:t>咨询人</w:t>
      </w:r>
      <w:r>
        <w:rPr>
          <w:rFonts w:hint="eastAsia" w:ascii="宋体" w:hAnsi="宋体" w:eastAsia="宋体" w:cs="Times New Roman"/>
          <w:color w:val="auto"/>
          <w:sz w:val="21"/>
          <w:szCs w:val="21"/>
          <w:highlight w:val="none"/>
        </w:rPr>
        <w:t>赔偿损失。</w:t>
      </w:r>
    </w:p>
    <w:p w14:paraId="214F9CE6">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27" w:name="_Toc419045107"/>
      <w:bookmarkStart w:id="128" w:name="_Toc422322532"/>
      <w:r>
        <w:rPr>
          <w:rFonts w:hint="eastAsia" w:ascii="宋体" w:hAnsi="宋体" w:eastAsia="宋体" w:cs="宋体"/>
          <w:b/>
          <w:color w:val="auto"/>
          <w:kern w:val="0"/>
          <w:sz w:val="21"/>
          <w:szCs w:val="21"/>
          <w:highlight w:val="none"/>
          <w:lang w:val="en-US" w:eastAsia="zh-CN" w:bidi="ar-SA"/>
        </w:rPr>
        <w:t>3.咨询人的义务</w:t>
      </w:r>
      <w:bookmarkEnd w:id="127"/>
      <w:bookmarkEnd w:id="128"/>
    </w:p>
    <w:p w14:paraId="41A88A29">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29" w:name="_Toc422322533"/>
      <w:bookmarkStart w:id="130" w:name="_Toc419045109"/>
      <w:r>
        <w:rPr>
          <w:rFonts w:hint="eastAsia" w:ascii="宋体" w:hAnsi="宋体" w:eastAsia="宋体" w:cs="宋体"/>
          <w:color w:val="auto"/>
          <w:sz w:val="21"/>
          <w:szCs w:val="21"/>
          <w:highlight w:val="none"/>
          <w:lang w:val="en-US" w:eastAsia="zh-CN" w:bidi="ar-SA"/>
        </w:rPr>
        <w:t>3.1项目咨询团队及人员</w:t>
      </w:r>
      <w:bookmarkEnd w:id="129"/>
      <w:bookmarkEnd w:id="130"/>
    </w:p>
    <w:p w14:paraId="2E0A21A8">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3.1.1项目咨询团队的主要人员应具有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造价师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资格条件，团队人员的数量为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人以上。</w:t>
      </w:r>
    </w:p>
    <w:p w14:paraId="4D15F75E">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3.1.2项目负责人为：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，项目负责人为履行本合同的权限为：</w:t>
      </w:r>
      <w:r>
        <w:rPr>
          <w:rFonts w:hint="eastAsia" w:ascii="宋体" w:hAnsi="宋体" w:eastAsia="宋体" w:cs="宋体"/>
          <w:color w:val="auto"/>
          <w:sz w:val="21"/>
          <w:szCs w:val="21"/>
          <w:highlight w:val="none"/>
          <w:u w:val="single"/>
        </w:rPr>
        <w:t xml:space="preserve">按通用条款  </w:t>
      </w:r>
      <w:r>
        <w:rPr>
          <w:rFonts w:hint="eastAsia" w:ascii="宋体" w:hAnsi="宋体" w:eastAsia="宋体" w:cs="宋体"/>
          <w:color w:val="auto"/>
          <w:sz w:val="21"/>
          <w:szCs w:val="21"/>
          <w:highlight w:val="none"/>
        </w:rPr>
        <w:t>。</w:t>
      </w:r>
    </w:p>
    <w:p w14:paraId="5A56B790">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p>
    <w:p w14:paraId="2B2D741A">
      <w:pPr>
        <w:keepNext w:val="0"/>
        <w:keepLines w:val="0"/>
        <w:pageBreakBefore w:val="0"/>
        <w:widowControl/>
        <w:shd w:val="clear" w:color="auto"/>
        <w:topLinePunct w:val="0"/>
        <w:autoSpaceDE/>
        <w:autoSpaceDN/>
        <w:bidi w:val="0"/>
        <w:adjustRightInd/>
        <w:snapToGrid/>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3.1.3咨询人更换项目咨询团队其他咨询人人员的约定：</w:t>
      </w:r>
      <w:r>
        <w:rPr>
          <w:rFonts w:hint="eastAsia" w:ascii="宋体" w:hAnsi="宋体" w:eastAsia="宋体" w:cs="宋体"/>
          <w:color w:val="auto"/>
          <w:kern w:val="0"/>
          <w:sz w:val="21"/>
          <w:szCs w:val="21"/>
          <w:highlight w:val="none"/>
          <w:u w:val="single"/>
          <w:lang w:val="en-US" w:eastAsia="zh-CN" w:bidi="ar-SA"/>
        </w:rPr>
        <w:t xml:space="preserve">按通用条款 </w:t>
      </w:r>
      <w:r>
        <w:rPr>
          <w:rFonts w:hint="eastAsia" w:ascii="宋体" w:hAnsi="宋体" w:eastAsia="宋体" w:cs="宋体"/>
          <w:color w:val="auto"/>
          <w:kern w:val="0"/>
          <w:sz w:val="21"/>
          <w:szCs w:val="21"/>
          <w:highlight w:val="none"/>
          <w:lang w:val="en-US" w:eastAsia="zh-CN" w:bidi="ar-SA"/>
        </w:rPr>
        <w:t>。</w:t>
      </w:r>
    </w:p>
    <w:p w14:paraId="3150BD57">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要求更换</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员的情形还包括：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D147B6">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31" w:name="_Toc422322534"/>
      <w:bookmarkStart w:id="132" w:name="_Toc419045110"/>
      <w:r>
        <w:rPr>
          <w:rFonts w:hint="eastAsia" w:ascii="宋体" w:hAnsi="宋体" w:eastAsia="宋体" w:cs="宋体"/>
          <w:color w:val="auto"/>
          <w:sz w:val="21"/>
          <w:szCs w:val="21"/>
          <w:highlight w:val="none"/>
          <w:lang w:val="en-US" w:eastAsia="zh-CN" w:bidi="ar-SA"/>
        </w:rPr>
        <w:t>3.2咨询人的工作要求</w:t>
      </w:r>
      <w:bookmarkEnd w:id="131"/>
      <w:bookmarkEnd w:id="132"/>
    </w:p>
    <w:p w14:paraId="52719DB9">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提供咨询成果文件的名称、组成、时间、份数及质量标准：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委托人</w:t>
      </w:r>
      <w:r>
        <w:rPr>
          <w:rFonts w:hint="eastAsia" w:ascii="宋体" w:hAnsi="宋体" w:eastAsia="宋体" w:cs="宋体"/>
          <w:color w:val="auto"/>
          <w:sz w:val="21"/>
          <w:szCs w:val="21"/>
          <w:highlight w:val="none"/>
          <w:u w:val="single"/>
        </w:rPr>
        <w:t>提供工程完整的</w:t>
      </w:r>
      <w:r>
        <w:rPr>
          <w:rFonts w:hint="eastAsia" w:ascii="宋体" w:hAnsi="宋体" w:eastAsia="宋体" w:cs="宋体"/>
          <w:color w:val="auto"/>
          <w:sz w:val="21"/>
          <w:szCs w:val="21"/>
          <w:highlight w:val="none"/>
          <w:u w:val="single"/>
          <w:lang w:eastAsia="zh-CN"/>
        </w:rPr>
        <w:t>项目</w:t>
      </w:r>
      <w:r>
        <w:rPr>
          <w:rFonts w:hint="eastAsia" w:ascii="宋体" w:hAnsi="宋体" w:eastAsia="宋体" w:cs="宋体"/>
          <w:color w:val="auto"/>
          <w:sz w:val="21"/>
          <w:szCs w:val="21"/>
          <w:highlight w:val="none"/>
          <w:u w:val="single"/>
        </w:rPr>
        <w:t>资料之日起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30个工作日</w:t>
      </w:r>
      <w:r>
        <w:rPr>
          <w:rFonts w:hint="eastAsia" w:ascii="宋体" w:hAnsi="宋体" w:eastAsia="宋体" w:cs="宋体"/>
          <w:color w:val="auto"/>
          <w:sz w:val="21"/>
          <w:szCs w:val="21"/>
          <w:highlight w:val="none"/>
          <w:u w:val="single"/>
        </w:rPr>
        <w:t>内</w:t>
      </w:r>
      <w:r>
        <w:rPr>
          <w:rFonts w:hint="eastAsia" w:ascii="宋体" w:hAnsi="宋体" w:eastAsia="宋体" w:cs="宋体"/>
          <w:color w:val="auto"/>
          <w:sz w:val="21"/>
          <w:szCs w:val="21"/>
          <w:highlight w:val="none"/>
          <w:u w:val="single"/>
          <w:lang w:val="en-US" w:eastAsia="zh-CN"/>
        </w:rPr>
        <w:t>完成结算审核报告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经核对后</w:t>
      </w:r>
      <w:r>
        <w:rPr>
          <w:rFonts w:hint="eastAsia" w:ascii="宋体" w:hAnsi="宋体" w:eastAsia="宋体" w:cs="宋体"/>
          <w:color w:val="auto"/>
          <w:sz w:val="21"/>
          <w:szCs w:val="21"/>
          <w:highlight w:val="none"/>
        </w:rPr>
        <w:t>出具正式报告书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份，若</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不能及时提供资料，</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提交成果文件的时间相应顺延 。</w:t>
      </w:r>
    </w:p>
    <w:p w14:paraId="45A33AB5">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按时向</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汇报工作进度。</w:t>
      </w:r>
    </w:p>
    <w:p w14:paraId="2AEF3578">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应在收到</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以书面形式提出的建议或者异议后</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日内给予书面答复。</w:t>
      </w:r>
    </w:p>
    <w:p w14:paraId="7A28F1C4">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3.2.4成果文件要求：</w:t>
      </w:r>
      <w:r>
        <w:rPr>
          <w:rFonts w:hint="eastAsia" w:ascii="宋体" w:hAnsi="宋体" w:eastAsia="宋体" w:cs="宋体"/>
          <w:color w:val="auto"/>
          <w:sz w:val="21"/>
          <w:szCs w:val="21"/>
          <w:highlight w:val="none"/>
          <w:u w:val="single"/>
        </w:rPr>
        <w:t>（1）提交各类成果文件书面报告，包括但不限于：签字盖章的工作成果书面文件、计算书底稿的复印件，并同时提供工作成果的Excel表格、Word文档、预算软件版本等电子文件。（2）各类书面成果文件，须注明编制日期，并由编制人、项目负责人分别签字或盖章。</w:t>
      </w:r>
    </w:p>
    <w:p w14:paraId="577B5743">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bookmarkStart w:id="133" w:name="_Toc422322535"/>
      <w:bookmarkStart w:id="134" w:name="_Toc419045111"/>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的工作依据</w:t>
      </w:r>
      <w:bookmarkEnd w:id="133"/>
      <w:bookmarkEnd w:id="134"/>
    </w:p>
    <w:p w14:paraId="293C4443">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协商，本合同约定的造价咨询服务适用的技术标准、规范、定额等工作依据为：</w:t>
      </w:r>
      <w:r>
        <w:rPr>
          <w:rFonts w:hint="eastAsia" w:ascii="宋体" w:hAnsi="宋体" w:eastAsia="宋体" w:cs="宋体"/>
          <w:color w:val="auto"/>
          <w:sz w:val="21"/>
          <w:szCs w:val="21"/>
          <w:highlight w:val="none"/>
          <w:u w:val="single"/>
        </w:rPr>
        <w:t>国家和地方现行工程造价的有关规范性规程、定额、技术标准等</w:t>
      </w:r>
      <w:r>
        <w:rPr>
          <w:rFonts w:hint="eastAsia" w:ascii="宋体" w:hAnsi="宋体" w:eastAsia="宋体" w:cs="宋体"/>
          <w:color w:val="auto"/>
          <w:sz w:val="21"/>
          <w:szCs w:val="21"/>
          <w:highlight w:val="none"/>
        </w:rPr>
        <w:t>。</w:t>
      </w:r>
    </w:p>
    <w:p w14:paraId="78D38178">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35" w:name="_Toc419045113"/>
      <w:bookmarkStart w:id="136" w:name="_Toc422322537"/>
      <w:r>
        <w:rPr>
          <w:rFonts w:hint="eastAsia" w:ascii="宋体" w:hAnsi="宋体" w:eastAsia="宋体" w:cs="宋体"/>
          <w:b/>
          <w:color w:val="auto"/>
          <w:kern w:val="0"/>
          <w:sz w:val="21"/>
          <w:szCs w:val="21"/>
          <w:highlight w:val="none"/>
          <w:lang w:val="en-US" w:eastAsia="zh-CN" w:bidi="ar-SA"/>
        </w:rPr>
        <w:t>4. 违约责任</w:t>
      </w:r>
      <w:bookmarkEnd w:id="135"/>
      <w:bookmarkEnd w:id="136"/>
    </w:p>
    <w:p w14:paraId="53F0C418">
      <w:pPr>
        <w:keepNext w:val="0"/>
        <w:keepLines w:val="0"/>
        <w:pageBreakBefore w:val="0"/>
        <w:shd w:val="clear" w:color="auto"/>
        <w:wordWrap/>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37" w:name="_Toc422322538"/>
      <w:r>
        <w:rPr>
          <w:rFonts w:hint="eastAsia" w:ascii="宋体" w:hAnsi="宋体" w:eastAsia="宋体" w:cs="宋体"/>
          <w:color w:val="auto"/>
          <w:kern w:val="2"/>
          <w:sz w:val="21"/>
          <w:szCs w:val="21"/>
          <w:highlight w:val="none"/>
        </w:rPr>
        <w:t>4.1委托人的违约责任</w:t>
      </w:r>
      <w:bookmarkEnd w:id="137"/>
    </w:p>
    <w:p w14:paraId="45424895">
      <w:pPr>
        <w:keepNext w:val="0"/>
        <w:keepLines w:val="0"/>
        <w:pageBreakBefore w:val="0"/>
        <w:shd w:val="clear" w:color="auto"/>
        <w:topLinePunct w:val="0"/>
        <w:autoSpaceDE/>
        <w:autoSpaceDN/>
        <w:bidi w:val="0"/>
        <w:adjustRightInd/>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违约金的计算及支付方法：</w:t>
      </w:r>
      <w:r>
        <w:rPr>
          <w:rFonts w:hint="eastAsia" w:ascii="宋体" w:hAnsi="宋体" w:eastAsia="宋体" w:cs="宋体"/>
          <w:color w:val="auto"/>
          <w:sz w:val="21"/>
          <w:szCs w:val="21"/>
          <w:highlight w:val="none"/>
          <w:u w:val="single"/>
        </w:rPr>
        <w:t xml:space="preserve"> 非咨询人原因导致项目终止的，委托人应按咨询人实际已完成的工作量支付相应咨询酬金。 </w:t>
      </w:r>
      <w:r>
        <w:rPr>
          <w:rFonts w:hint="eastAsia" w:ascii="宋体" w:hAnsi="宋体" w:eastAsia="宋体" w:cs="宋体"/>
          <w:color w:val="auto"/>
          <w:sz w:val="21"/>
          <w:szCs w:val="21"/>
          <w:highlight w:val="none"/>
        </w:rPr>
        <w:t>。</w:t>
      </w:r>
    </w:p>
    <w:p w14:paraId="4984A0D3">
      <w:pPr>
        <w:keepNext w:val="0"/>
        <w:keepLines w:val="0"/>
        <w:pageBreakBefore w:val="0"/>
        <w:shd w:val="clear" w:color="auto"/>
        <w:topLinePunct w:val="0"/>
        <w:autoSpaceDE/>
        <w:autoSpaceDN/>
        <w:bidi w:val="0"/>
        <w:adjustRightInd/>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赔偿金额按下列方法确定并支付：</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9D5AF8">
      <w:pPr>
        <w:keepNext w:val="0"/>
        <w:keepLines w:val="0"/>
        <w:pageBreakBefore w:val="0"/>
        <w:shd w:val="clear" w:color="auto"/>
        <w:topLinePunct w:val="0"/>
        <w:autoSpaceDE/>
        <w:autoSpaceDN/>
        <w:bidi w:val="0"/>
        <w:adjustRightInd/>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4.1.3 </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逾期付款利息按下列方法计算并支付：</w:t>
      </w:r>
      <w:r>
        <w:rPr>
          <w:rFonts w:hint="eastAsia" w:ascii="宋体" w:hAnsi="宋体" w:eastAsia="宋体" w:cs="宋体"/>
          <w:color w:val="auto"/>
          <w:sz w:val="21"/>
          <w:szCs w:val="21"/>
          <w:highlight w:val="none"/>
          <w:u w:val="single"/>
        </w:rPr>
        <w:t xml:space="preserve">   按通用条款  </w:t>
      </w:r>
      <w:r>
        <w:rPr>
          <w:rFonts w:hint="eastAsia" w:ascii="宋体" w:hAnsi="宋体" w:eastAsia="宋体" w:cs="宋体"/>
          <w:color w:val="auto"/>
          <w:sz w:val="21"/>
          <w:szCs w:val="21"/>
          <w:highlight w:val="none"/>
        </w:rPr>
        <w:t>。</w:t>
      </w:r>
    </w:p>
    <w:p w14:paraId="2D41E0E8">
      <w:pPr>
        <w:keepNext w:val="0"/>
        <w:keepLines w:val="0"/>
        <w:pageBreakBefore w:val="0"/>
        <w:shd w:val="clear" w:color="auto"/>
        <w:wordWrap/>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38" w:name="_Toc422322539"/>
      <w:bookmarkStart w:id="139" w:name="_Toc419045114"/>
      <w:r>
        <w:rPr>
          <w:rFonts w:hint="eastAsia" w:ascii="宋体" w:hAnsi="宋体" w:eastAsia="宋体" w:cs="宋体"/>
          <w:color w:val="auto"/>
          <w:sz w:val="21"/>
          <w:szCs w:val="21"/>
          <w:highlight w:val="none"/>
          <w:lang w:val="en-US" w:eastAsia="zh-CN" w:bidi="ar-SA"/>
        </w:rPr>
        <w:t>4.2咨询人的违约责任</w:t>
      </w:r>
      <w:bookmarkEnd w:id="138"/>
    </w:p>
    <w:bookmarkEnd w:id="139"/>
    <w:p w14:paraId="5C2EB7EB">
      <w:pPr>
        <w:keepNext w:val="0"/>
        <w:keepLines w:val="0"/>
        <w:pageBreakBefore w:val="0"/>
        <w:widowControl/>
        <w:shd w:val="clear" w:color="auto"/>
        <w:topLinePunct w:val="0"/>
        <w:autoSpaceDE/>
        <w:autoSpaceDN/>
        <w:bidi w:val="0"/>
        <w:adjustRightInd/>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违约金的计算及支付方法：若</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委派项目负责人发生变更，必须书面通知</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同意后，并配备同等职务和资格及以上的人员作为项目负责人。如私自更换项目负责人，支付违约金</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000元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经委托人复核，若造价咨询成果文件的误差率大于等于3%，咨询人应向委托人支付项目总计费额</w:t>
      </w:r>
      <w:r>
        <w:rPr>
          <w:rFonts w:hint="eastAsia" w:ascii="宋体" w:hAnsi="宋体" w:cs="宋体"/>
          <w:color w:val="auto"/>
          <w:kern w:val="2"/>
          <w:sz w:val="21"/>
          <w:szCs w:val="21"/>
          <w:highlight w:val="none"/>
          <w:lang w:val="en-US" w:eastAsia="zh-CN" w:bidi="ar-SA"/>
        </w:rPr>
        <w:t>30%</w:t>
      </w:r>
      <w:r>
        <w:rPr>
          <w:rFonts w:hint="eastAsia" w:ascii="宋体" w:hAnsi="宋体" w:eastAsia="宋体" w:cs="宋体"/>
          <w:color w:val="auto"/>
          <w:kern w:val="2"/>
          <w:sz w:val="21"/>
          <w:szCs w:val="21"/>
          <w:highlight w:val="none"/>
          <w:lang w:val="en-US" w:eastAsia="zh-CN" w:bidi="ar-SA"/>
        </w:rPr>
        <w:t>违约金，并赔偿委托人经济损失，。</w:t>
      </w:r>
    </w:p>
    <w:p w14:paraId="7E1696D9">
      <w:pPr>
        <w:keepNext w:val="0"/>
        <w:keepLines w:val="0"/>
        <w:pageBreakBefore w:val="0"/>
        <w:shd w:val="clear" w:color="auto"/>
        <w:topLinePunct w:val="0"/>
        <w:autoSpaceDE/>
        <w:autoSpaceDN/>
        <w:bidi w:val="0"/>
        <w:adjustRightInd/>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4.2.2 </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赔偿金额按下列方法确定并支付：</w:t>
      </w:r>
      <w:r>
        <w:rPr>
          <w:rFonts w:hint="eastAsia" w:ascii="宋体" w:hAnsi="宋体" w:eastAsia="宋体" w:cs="宋体"/>
          <w:color w:val="auto"/>
          <w:sz w:val="21"/>
          <w:szCs w:val="21"/>
          <w:highlight w:val="none"/>
          <w:u w:val="single"/>
        </w:rPr>
        <w:t xml:space="preserve"> ①因咨询人员不称职，委托人要求更换而咨询人未及时调换的，视为咨询人违约,必须向委托人支付违约金10000元/人·次(人民币)；②合同履行过程中，除经委托人同意更换咨询人员外，咨询人不得更换咨询人员，否则视为违约，必须向委托人支付违约金10000元/人·次(人民币)；③咨询人由于违约、工作失误或执业操守问题造成委托人损失的，咨询人赔偿委托人由此造成的经济损失 </w:t>
      </w:r>
      <w:r>
        <w:rPr>
          <w:rFonts w:hint="eastAsia" w:ascii="宋体" w:hAnsi="宋体" w:eastAsia="宋体" w:cs="宋体"/>
          <w:color w:val="auto"/>
          <w:sz w:val="21"/>
          <w:szCs w:val="21"/>
          <w:highlight w:val="none"/>
        </w:rPr>
        <w:t>。</w:t>
      </w:r>
    </w:p>
    <w:p w14:paraId="1075AE94">
      <w:pPr>
        <w:keepNext w:val="0"/>
        <w:keepLines w:val="0"/>
        <w:pageBreakBefore w:val="0"/>
        <w:shd w:val="clear" w:color="auto"/>
        <w:topLinePunct w:val="0"/>
        <w:autoSpaceDE/>
        <w:autoSpaceDN/>
        <w:bidi w:val="0"/>
        <w:adjustRightInd/>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 咨询人有其他不履行本合同义务的行为或者履行义务不符合本合同约定的，应承担违约责任，按本项目总计费额的10%向委托人支付违约金，并赔偿委托人经济损失。</w:t>
      </w:r>
    </w:p>
    <w:p w14:paraId="3EC6432B">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40" w:name="_Toc419045115"/>
      <w:bookmarkStart w:id="141" w:name="_Toc422322540"/>
      <w:r>
        <w:rPr>
          <w:rFonts w:hint="eastAsia" w:ascii="宋体" w:hAnsi="宋体" w:eastAsia="宋体" w:cs="宋体"/>
          <w:b/>
          <w:color w:val="auto"/>
          <w:kern w:val="0"/>
          <w:sz w:val="21"/>
          <w:szCs w:val="21"/>
          <w:highlight w:val="none"/>
          <w:lang w:val="en-US" w:eastAsia="zh-CN" w:bidi="ar-SA"/>
        </w:rPr>
        <w:t>5.支付</w:t>
      </w:r>
      <w:bookmarkEnd w:id="140"/>
      <w:bookmarkEnd w:id="141"/>
    </w:p>
    <w:p w14:paraId="290B37E0">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bookmarkStart w:id="142" w:name="_Toc422322541"/>
      <w:bookmarkStart w:id="143" w:name="_Toc419045116"/>
      <w:r>
        <w:rPr>
          <w:rFonts w:hint="eastAsia" w:ascii="宋体" w:hAnsi="宋体" w:eastAsia="宋体" w:cs="宋体"/>
          <w:color w:val="auto"/>
          <w:sz w:val="21"/>
          <w:szCs w:val="21"/>
          <w:highlight w:val="none"/>
        </w:rPr>
        <w:t>5.1支付货币</w:t>
      </w:r>
      <w:bookmarkEnd w:id="142"/>
      <w:bookmarkEnd w:id="143"/>
    </w:p>
    <w:p w14:paraId="45A03196">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币种为：</w:t>
      </w:r>
      <w:r>
        <w:rPr>
          <w:rFonts w:hint="eastAsia" w:ascii="宋体" w:hAnsi="宋体" w:eastAsia="宋体" w:cs="宋体"/>
          <w:color w:val="auto"/>
          <w:sz w:val="21"/>
          <w:szCs w:val="21"/>
          <w:highlight w:val="none"/>
          <w:u w:val="single"/>
        </w:rPr>
        <w:t xml:space="preserve"> 人民币 </w:t>
      </w:r>
      <w:bookmarkStart w:id="144" w:name="_Toc419045117"/>
      <w:bookmarkStart w:id="145" w:name="_Toc422322542"/>
      <w:r>
        <w:rPr>
          <w:rFonts w:hint="eastAsia" w:ascii="宋体" w:hAnsi="宋体" w:eastAsia="宋体" w:cs="宋体"/>
          <w:color w:val="auto"/>
          <w:sz w:val="21"/>
          <w:szCs w:val="21"/>
          <w:highlight w:val="none"/>
        </w:rPr>
        <w:t>。</w:t>
      </w:r>
    </w:p>
    <w:p w14:paraId="3FDBCD9C">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 支付申请</w:t>
      </w:r>
      <w:bookmarkEnd w:id="144"/>
      <w:bookmarkEnd w:id="145"/>
    </w:p>
    <w:p w14:paraId="6CB15268">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应</w:t>
      </w:r>
      <w:r>
        <w:rPr>
          <w:rFonts w:hint="eastAsia" w:ascii="宋体" w:hAnsi="宋体" w:eastAsia="宋体" w:cs="宋体"/>
          <w:color w:val="auto"/>
          <w:sz w:val="21"/>
          <w:szCs w:val="21"/>
          <w:highlight w:val="none"/>
          <w:lang w:eastAsia="zh-CN"/>
        </w:rPr>
        <w:t>根据任务委托书按单项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提交支付申请书。</w:t>
      </w:r>
    </w:p>
    <w:p w14:paraId="350E0541">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bookmarkStart w:id="146" w:name="_Toc422322543"/>
      <w:bookmarkStart w:id="147" w:name="_Toc419045118"/>
      <w:r>
        <w:rPr>
          <w:rFonts w:hint="eastAsia" w:ascii="宋体" w:hAnsi="宋体" w:eastAsia="宋体" w:cs="宋体"/>
          <w:color w:val="auto"/>
          <w:sz w:val="21"/>
          <w:szCs w:val="21"/>
          <w:highlight w:val="none"/>
        </w:rPr>
        <w:t>5.3支付酬金</w:t>
      </w:r>
      <w:bookmarkEnd w:id="146"/>
      <w:bookmarkEnd w:id="147"/>
      <w:r>
        <w:rPr>
          <w:rFonts w:hint="eastAsia" w:ascii="宋体" w:hAnsi="宋体" w:eastAsia="宋体" w:cs="宋体"/>
          <w:color w:val="auto"/>
          <w:sz w:val="21"/>
          <w:szCs w:val="21"/>
          <w:highlight w:val="none"/>
        </w:rPr>
        <w:t>方式</w:t>
      </w:r>
    </w:p>
    <w:p w14:paraId="7435823C">
      <w:pPr>
        <w:shd w:val="clear" w:color="auto"/>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5.3.1</w:t>
      </w:r>
      <w:r>
        <w:rPr>
          <w:rFonts w:hint="eastAsia" w:ascii="宋体" w:hAnsi="宋体" w:eastAsia="宋体" w:cs="宋体"/>
          <w:color w:val="auto"/>
          <w:sz w:val="21"/>
          <w:szCs w:val="21"/>
          <w:highlight w:val="none"/>
        </w:rPr>
        <w:t>咨询服务费</w:t>
      </w:r>
      <w:r>
        <w:rPr>
          <w:rFonts w:hint="eastAsia" w:ascii="宋体" w:hAnsi="宋体" w:eastAsia="宋体" w:cs="宋体"/>
          <w:color w:val="auto"/>
          <w:sz w:val="21"/>
          <w:szCs w:val="21"/>
          <w:highlight w:val="none"/>
          <w:lang w:eastAsia="zh-CN"/>
        </w:rPr>
        <w:t>根据任务委托书</w:t>
      </w:r>
      <w:r>
        <w:rPr>
          <w:rFonts w:hint="eastAsia" w:ascii="宋体" w:hAnsi="宋体" w:eastAsia="宋体" w:cs="宋体"/>
          <w:color w:val="auto"/>
          <w:sz w:val="21"/>
          <w:szCs w:val="21"/>
          <w:highlight w:val="none"/>
        </w:rPr>
        <w:t>按单</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申请支付，</w:t>
      </w:r>
      <w:r>
        <w:rPr>
          <w:rFonts w:hint="eastAsia" w:ascii="宋体" w:hAnsi="宋体" w:cs="宋体"/>
          <w:color w:val="auto"/>
          <w:sz w:val="21"/>
          <w:szCs w:val="21"/>
          <w:highlight w:val="none"/>
          <w:lang w:val="en-US" w:eastAsia="zh-CN"/>
        </w:rPr>
        <w:t>预付四万元整</w:t>
      </w:r>
      <w:r>
        <w:rPr>
          <w:rFonts w:hint="eastAsia" w:ascii="宋体" w:hAnsi="宋体" w:eastAsia="宋体" w:cs="宋体"/>
          <w:color w:val="auto"/>
          <w:sz w:val="21"/>
          <w:szCs w:val="21"/>
          <w:highlight w:val="none"/>
        </w:rPr>
        <w:t>。</w:t>
      </w:r>
    </w:p>
    <w:p w14:paraId="3BC0A791">
      <w:pPr>
        <w:shd w:val="clear" w:color="auto"/>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结算审核：</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在完成单项咨询服务工作（即出具成果文件）后，提交《造价咨询服务费支付申请书》</w:t>
      </w:r>
      <w:r>
        <w:rPr>
          <w:rFonts w:hint="eastAsia" w:ascii="宋体" w:hAnsi="宋体" w:eastAsia="宋体" w:cs="宋体"/>
          <w:color w:val="auto"/>
          <w:sz w:val="21"/>
          <w:szCs w:val="21"/>
          <w:highlight w:val="none"/>
          <w:lang w:eastAsia="zh-CN"/>
        </w:rPr>
        <w:t>等资料</w:t>
      </w:r>
      <w:r>
        <w:rPr>
          <w:rFonts w:hint="eastAsia" w:ascii="宋体" w:hAnsi="宋体" w:eastAsia="宋体" w:cs="宋体"/>
          <w:color w:val="auto"/>
          <w:sz w:val="21"/>
          <w:szCs w:val="21"/>
          <w:highlight w:val="none"/>
        </w:rPr>
        <w:t>，并加盖公章后送甲方，经甲方确认后1</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个工作日内支付。</w:t>
      </w:r>
    </w:p>
    <w:p w14:paraId="2B92013D">
      <w:pPr>
        <w:keepNext w:val="0"/>
        <w:keepLines w:val="0"/>
        <w:pageBreakBefore w:val="0"/>
        <w:widowControl w:val="0"/>
        <w:shd w:val="clear" w:color="auto"/>
        <w:topLinePunct w:val="0"/>
        <w:autoSpaceDE/>
        <w:autoSpaceDN/>
        <w:bidi w:val="0"/>
        <w:adjustRightInd/>
        <w:snapToGrid/>
        <w:spacing w:line="400" w:lineRule="exact"/>
        <w:ind w:left="0" w:leftChars="0" w:firstLine="420" w:firstLineChars="200"/>
        <w:jc w:val="left"/>
        <w:rPr>
          <w:rFonts w:hint="eastAsia" w:ascii="宋体" w:hAnsi="宋体" w:eastAsia="宋体" w:cs="宋体"/>
          <w:color w:val="auto"/>
          <w:kern w:val="2"/>
          <w:sz w:val="21"/>
          <w:szCs w:val="21"/>
          <w:highlight w:val="none"/>
          <w:lang w:val="en-US" w:eastAsia="zh-CN" w:bidi="ar-SA"/>
        </w:rPr>
      </w:pPr>
      <w:bookmarkStart w:id="148" w:name="_Toc419045119"/>
      <w:bookmarkStart w:id="149" w:name="_Toc422322544"/>
      <w:r>
        <w:rPr>
          <w:rFonts w:hint="eastAsia" w:ascii="宋体" w:hAnsi="宋体" w:eastAsia="宋体" w:cs="宋体"/>
          <w:color w:val="auto"/>
          <w:kern w:val="2"/>
          <w:sz w:val="21"/>
          <w:szCs w:val="21"/>
          <w:highlight w:val="none"/>
          <w:lang w:val="en-US" w:eastAsia="zh-CN" w:bidi="ar-SA"/>
        </w:rPr>
        <w:t>5.3.</w:t>
      </w:r>
      <w:r>
        <w:rPr>
          <w:rFonts w:hint="eastAsia" w:ascii="宋体" w:hAnsi="宋体" w:cs="宋体"/>
          <w:color w:val="auto"/>
          <w:kern w:val="2"/>
          <w:sz w:val="21"/>
          <w:szCs w:val="21"/>
          <w:highlight w:val="none"/>
          <w:lang w:val="en-US" w:eastAsia="zh-CN" w:bidi="ar-SA"/>
        </w:rPr>
        <w:t>3</w:t>
      </w:r>
      <w:r>
        <w:rPr>
          <w:rFonts w:hint="eastAsia" w:ascii="宋体" w:hAnsi="宋体" w:eastAsia="宋体" w:cs="宋体"/>
          <w:color w:val="auto"/>
          <w:kern w:val="2"/>
          <w:sz w:val="21"/>
          <w:szCs w:val="21"/>
          <w:highlight w:val="none"/>
          <w:lang w:val="en-US" w:eastAsia="zh-CN" w:bidi="ar-SA"/>
        </w:rPr>
        <w:t>咨询人在每次付款前，向委托人开具合法有效等额的发票。因咨询人开具的发票不规范、不合法或涉嫌虚开发票引起税务问题的，咨询人需依法向委托人重新开具合法的发票，并向委托人承担赔偿责任，包括但不限于税款、滞纳金、罚款及相关损失等。</w:t>
      </w:r>
      <w:r>
        <w:rPr>
          <w:rFonts w:hint="eastAsia" w:ascii="宋体" w:hAnsi="宋体" w:eastAsia="宋体" w:cs="宋体"/>
          <w:bCs/>
          <w:color w:val="auto"/>
          <w:kern w:val="2"/>
          <w:sz w:val="21"/>
          <w:szCs w:val="21"/>
          <w:highlight w:val="none"/>
          <w:lang w:val="en-US" w:eastAsia="zh-CN" w:bidi="ar-SA"/>
        </w:rPr>
        <w:t xml:space="preserve"> </w:t>
      </w:r>
    </w:p>
    <w:p w14:paraId="0E7DDEA0">
      <w:pPr>
        <w:keepNext w:val="0"/>
        <w:keepLines w:val="0"/>
        <w:pageBreakBefore w:val="0"/>
        <w:widowControl w:val="0"/>
        <w:shd w:val="clear" w:color="auto"/>
        <w:topLinePunct w:val="0"/>
        <w:autoSpaceDE/>
        <w:autoSpaceDN/>
        <w:bidi w:val="0"/>
        <w:adjustRightInd/>
        <w:snapToGrid/>
        <w:spacing w:line="400" w:lineRule="exact"/>
        <w:ind w:left="-4" w:leftChars="-2"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5.3.</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出具中间审核成果后，因施工单位原因超过1年不能定稿的，咨询人应该采取多种方式推进工作；如已多次采用书面形式催促后却难以推进，且有争议的金额不超过送审金额3%的情况下，提交审核定稿意见经委托人确认后，可以累计支付单个项目造价咨询费不超过</w:t>
      </w:r>
      <w:r>
        <w:rPr>
          <w:rFonts w:hint="default" w:ascii="宋体" w:hAnsi="宋体" w:eastAsia="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0%。对有争议的问题，需提供相应解决方案，并按照方案实施的证明（如询价记录，造价站咨询记录等）。</w:t>
      </w:r>
    </w:p>
    <w:p w14:paraId="08E4082B">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6. 合同变更、解除与终止</w:t>
      </w:r>
      <w:bookmarkEnd w:id="148"/>
      <w:bookmarkEnd w:id="149"/>
    </w:p>
    <w:p w14:paraId="24AAA9FF">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bookmarkStart w:id="150" w:name="_Toc419045120"/>
      <w:bookmarkStart w:id="151" w:name="_Toc422322545"/>
      <w:r>
        <w:rPr>
          <w:rFonts w:hint="eastAsia" w:ascii="宋体" w:hAnsi="宋体" w:eastAsia="宋体" w:cs="宋体"/>
          <w:color w:val="auto"/>
          <w:sz w:val="21"/>
          <w:szCs w:val="21"/>
          <w:highlight w:val="none"/>
        </w:rPr>
        <w:t>6.1合同变更</w:t>
      </w:r>
      <w:bookmarkEnd w:id="150"/>
      <w:bookmarkEnd w:id="151"/>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6.1.2 除不可抗力外，因非</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原因导致本合同履行期限延长、内容增加时，附加工作酬金按下列方法确定：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6.1.4因工程规模、服务范围及内容的变化等导致</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的工作量增减时，服务酬金的调整方法：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C903D10">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52" w:name="_Toc422322546"/>
      <w:r>
        <w:rPr>
          <w:rFonts w:hint="eastAsia" w:ascii="宋体" w:hAnsi="宋体" w:eastAsia="宋体" w:cs="宋体"/>
          <w:color w:val="auto"/>
          <w:sz w:val="21"/>
          <w:szCs w:val="21"/>
          <w:highlight w:val="none"/>
          <w:lang w:val="en-US" w:eastAsia="zh-CN" w:bidi="ar-SA"/>
        </w:rPr>
        <w:t>6.2合同解除</w:t>
      </w:r>
      <w:bookmarkEnd w:id="152"/>
    </w:p>
    <w:p w14:paraId="0C894EEF">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约定解除合同的条件还包括：</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056C375">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6.2.4因不可抗力导致的合同解除，</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约定损失的分担如下：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41036F6">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53" w:name="_Toc419045121"/>
      <w:bookmarkStart w:id="154" w:name="_Toc422322547"/>
      <w:r>
        <w:rPr>
          <w:rFonts w:hint="eastAsia" w:ascii="宋体" w:hAnsi="宋体" w:eastAsia="宋体" w:cs="宋体"/>
          <w:b/>
          <w:color w:val="auto"/>
          <w:kern w:val="0"/>
          <w:sz w:val="21"/>
          <w:szCs w:val="21"/>
          <w:highlight w:val="none"/>
          <w:lang w:val="en-US" w:eastAsia="zh-CN" w:bidi="ar-SA"/>
        </w:rPr>
        <w:t>7. 争议解决</w:t>
      </w:r>
      <w:bookmarkEnd w:id="153"/>
      <w:bookmarkEnd w:id="154"/>
    </w:p>
    <w:p w14:paraId="0EBBD52C">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bookmarkStart w:id="155" w:name="_Toc419045122"/>
      <w:bookmarkStart w:id="156" w:name="_Toc422322548"/>
      <w:r>
        <w:rPr>
          <w:rFonts w:hint="eastAsia" w:ascii="宋体" w:hAnsi="宋体" w:eastAsia="宋体" w:cs="宋体"/>
          <w:color w:val="auto"/>
          <w:sz w:val="21"/>
          <w:szCs w:val="21"/>
          <w:highlight w:val="none"/>
        </w:rPr>
        <w:t>7.2调解</w:t>
      </w:r>
      <w:bookmarkEnd w:id="155"/>
      <w:bookmarkEnd w:id="156"/>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如果</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不能在</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日内解决本合同争议，可以将其提交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进行调解。</w:t>
      </w:r>
    </w:p>
    <w:p w14:paraId="301ED201">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57" w:name="_Toc422322549"/>
      <w:r>
        <w:rPr>
          <w:rFonts w:hint="eastAsia" w:ascii="宋体" w:hAnsi="宋体" w:eastAsia="宋体" w:cs="宋体"/>
          <w:color w:val="auto"/>
          <w:sz w:val="21"/>
          <w:szCs w:val="21"/>
          <w:highlight w:val="none"/>
          <w:lang w:val="en-US" w:eastAsia="zh-CN" w:bidi="ar-SA"/>
        </w:rPr>
        <w:t>7.3仲裁或诉讼</w:t>
      </w:r>
      <w:bookmarkEnd w:id="157"/>
    </w:p>
    <w:p w14:paraId="57A97714">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合同争议的最终解决方式为下列第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2</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（1）提请</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仲裁委员会进行仲裁。</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委托人所在地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人民法院提起诉讼。守约方为主张权利而产生的律师费、保全费、保函费、鉴定费、公告费、公证费等由违约方承担。</w:t>
      </w:r>
    </w:p>
    <w:p w14:paraId="159AA80B">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58" w:name="_Toc422322550"/>
      <w:bookmarkStart w:id="159" w:name="_Toc419045123"/>
      <w:r>
        <w:rPr>
          <w:rFonts w:hint="eastAsia" w:ascii="宋体" w:hAnsi="宋体" w:eastAsia="宋体" w:cs="宋体"/>
          <w:b/>
          <w:color w:val="auto"/>
          <w:kern w:val="0"/>
          <w:sz w:val="21"/>
          <w:szCs w:val="21"/>
          <w:highlight w:val="none"/>
          <w:lang w:val="en-US" w:eastAsia="zh-CN" w:bidi="ar-SA"/>
        </w:rPr>
        <w:t>8. 其他</w:t>
      </w:r>
      <w:bookmarkEnd w:id="158"/>
      <w:bookmarkEnd w:id="159"/>
    </w:p>
    <w:p w14:paraId="44E8038F">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60" w:name="_Toc422322551"/>
      <w:r>
        <w:rPr>
          <w:rFonts w:hint="eastAsia" w:ascii="宋体" w:hAnsi="宋体" w:eastAsia="宋体" w:cs="宋体"/>
          <w:color w:val="auto"/>
          <w:sz w:val="21"/>
          <w:szCs w:val="21"/>
          <w:highlight w:val="none"/>
          <w:lang w:val="en-US" w:eastAsia="zh-CN" w:bidi="ar-SA"/>
        </w:rPr>
        <w:t>8.1考察及相关费用</w:t>
      </w:r>
      <w:bookmarkEnd w:id="160"/>
    </w:p>
    <w:p w14:paraId="7EF884A9">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进行考察发生的费用由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咨询人</w:t>
      </w:r>
      <w:r>
        <w:rPr>
          <w:rFonts w:hint="eastAsia" w:ascii="宋体" w:hAnsi="宋体" w:eastAsia="宋体" w:cs="宋体"/>
          <w:color w:val="auto"/>
          <w:sz w:val="21"/>
          <w:szCs w:val="21"/>
          <w:highlight w:val="none"/>
          <w:u w:val="single"/>
        </w:rPr>
        <w:t xml:space="preserve">自行  </w:t>
      </w:r>
      <w:r>
        <w:rPr>
          <w:rFonts w:hint="eastAsia" w:ascii="宋体" w:hAnsi="宋体" w:eastAsia="宋体" w:cs="宋体"/>
          <w:color w:val="auto"/>
          <w:sz w:val="21"/>
          <w:szCs w:val="21"/>
          <w:highlight w:val="none"/>
        </w:rPr>
        <w:t>支付。</w:t>
      </w:r>
    </w:p>
    <w:p w14:paraId="0E86B0B6">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差旅费及相关费用的支付：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咨询人</w:t>
      </w:r>
      <w:r>
        <w:rPr>
          <w:rFonts w:hint="eastAsia" w:ascii="宋体" w:hAnsi="宋体" w:eastAsia="宋体" w:cs="宋体"/>
          <w:color w:val="auto"/>
          <w:sz w:val="21"/>
          <w:szCs w:val="21"/>
          <w:highlight w:val="none"/>
          <w:u w:val="single"/>
        </w:rPr>
        <w:t>进行考察产生的差旅费及其他相关费用，均由</w:t>
      </w:r>
      <w:r>
        <w:rPr>
          <w:rFonts w:hint="eastAsia" w:ascii="宋体" w:hAnsi="宋体" w:eastAsia="宋体" w:cs="宋体"/>
          <w:color w:val="auto"/>
          <w:sz w:val="21"/>
          <w:szCs w:val="21"/>
          <w:highlight w:val="none"/>
          <w:u w:val="single"/>
          <w:lang w:eastAsia="zh-CN"/>
        </w:rPr>
        <w:t>咨询人</w:t>
      </w:r>
      <w:r>
        <w:rPr>
          <w:rFonts w:hint="eastAsia" w:ascii="宋体" w:hAnsi="宋体" w:eastAsia="宋体" w:cs="宋体"/>
          <w:color w:val="auto"/>
          <w:sz w:val="21"/>
          <w:szCs w:val="21"/>
          <w:highlight w:val="none"/>
          <w:u w:val="single"/>
        </w:rPr>
        <w:t xml:space="preserve">自行承担  </w:t>
      </w:r>
      <w:r>
        <w:rPr>
          <w:rFonts w:hint="eastAsia" w:ascii="宋体" w:hAnsi="宋体" w:eastAsia="宋体" w:cs="宋体"/>
          <w:color w:val="auto"/>
          <w:sz w:val="21"/>
          <w:szCs w:val="21"/>
          <w:highlight w:val="none"/>
        </w:rPr>
        <w:t xml:space="preserve">。          </w:t>
      </w:r>
    </w:p>
    <w:p w14:paraId="04970383">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61" w:name="_Toc422322552"/>
      <w:r>
        <w:rPr>
          <w:rFonts w:hint="eastAsia" w:ascii="宋体" w:hAnsi="宋体" w:eastAsia="宋体" w:cs="宋体"/>
          <w:color w:val="auto"/>
          <w:sz w:val="21"/>
          <w:szCs w:val="21"/>
          <w:highlight w:val="none"/>
          <w:lang w:val="en-US" w:eastAsia="zh-CN" w:bidi="ar-SA"/>
        </w:rPr>
        <w:t>8.2奖励</w:t>
      </w:r>
      <w:bookmarkEnd w:id="161"/>
    </w:p>
    <w:p w14:paraId="6437601F">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合理化建议的奖励金额按下列方法确定：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2667E774">
      <w:pPr>
        <w:keepNext w:val="0"/>
        <w:keepLines w:val="0"/>
        <w:pageBreakBefore w:val="0"/>
        <w:shd w:val="clear" w:color="auto"/>
        <w:wordWrap w:val="0"/>
        <w:topLinePunct w:val="0"/>
        <w:autoSpaceDE/>
        <w:autoSpaceDN/>
        <w:bidi w:val="0"/>
        <w:adjustRightInd/>
        <w:snapToGrid/>
        <w:spacing w:after="0" w:line="400" w:lineRule="exact"/>
        <w:ind w:firstLine="420" w:firstLineChars="200"/>
        <w:jc w:val="left"/>
        <w:rPr>
          <w:rFonts w:hint="eastAsia" w:ascii="宋体" w:hAnsi="宋体" w:eastAsia="宋体" w:cs="宋体"/>
          <w:color w:val="auto"/>
          <w:sz w:val="21"/>
          <w:szCs w:val="21"/>
          <w:highlight w:val="none"/>
          <w:lang w:val="en-US" w:eastAsia="zh-CN" w:bidi="ar-SA"/>
        </w:rPr>
      </w:pPr>
      <w:bookmarkStart w:id="162" w:name="_Toc422322553"/>
      <w:r>
        <w:rPr>
          <w:rFonts w:hint="eastAsia" w:ascii="宋体" w:hAnsi="宋体" w:eastAsia="宋体" w:cs="宋体"/>
          <w:color w:val="auto"/>
          <w:sz w:val="21"/>
          <w:szCs w:val="21"/>
          <w:highlight w:val="none"/>
          <w:lang w:val="en-US" w:eastAsia="zh-CN" w:bidi="ar-SA"/>
        </w:rPr>
        <w:t>8.3保密</w:t>
      </w:r>
      <w:bookmarkEnd w:id="162"/>
    </w:p>
    <w:p w14:paraId="2E281BD8">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申明的保密事项和期限：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申明的保密事项和期限：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 xml:space="preserve">    第三人申明的保密事项和期限：</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9DB4233">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bCs/>
          <w:color w:val="auto"/>
          <w:kern w:val="28"/>
          <w:sz w:val="21"/>
          <w:szCs w:val="21"/>
          <w:highlight w:val="none"/>
        </w:rPr>
      </w:pPr>
      <w:bookmarkStart w:id="163" w:name="_Toc422322554"/>
      <w:r>
        <w:rPr>
          <w:rFonts w:hint="eastAsia" w:ascii="宋体" w:hAnsi="宋体" w:eastAsia="宋体" w:cs="宋体"/>
          <w:color w:val="auto"/>
          <w:sz w:val="21"/>
          <w:szCs w:val="21"/>
          <w:highlight w:val="none"/>
        </w:rPr>
        <w:t>8.4联络</w:t>
      </w:r>
      <w:bookmarkEnd w:id="163"/>
    </w:p>
    <w:p w14:paraId="7BF9759A">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8.4.1任何一方与合同有关的通知、指示、要求、决定等，均应在</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 xml:space="preserve"> 日内送达对方指定的接收人和送达地点。</w:t>
      </w:r>
    </w:p>
    <w:p w14:paraId="0A945DEE">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bookmarkStart w:id="164" w:name="_Toc419045124"/>
      <w:bookmarkStart w:id="165" w:name="_Toc422322555"/>
      <w:r>
        <w:rPr>
          <w:rFonts w:hint="eastAsia" w:ascii="宋体" w:hAnsi="宋体" w:eastAsia="宋体" w:cs="宋体"/>
          <w:color w:val="auto"/>
          <w:sz w:val="21"/>
          <w:szCs w:val="21"/>
          <w:highlight w:val="none"/>
        </w:rPr>
        <w:t>8.5知识产权</w:t>
      </w:r>
      <w:bookmarkEnd w:id="164"/>
      <w:bookmarkEnd w:id="165"/>
    </w:p>
    <w:p w14:paraId="7244A851">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提供给</w:t>
      </w:r>
      <w:r>
        <w:rPr>
          <w:rFonts w:hint="eastAsia" w:ascii="宋体" w:hAnsi="宋体" w:eastAsia="宋体" w:cs="宋体"/>
          <w:color w:val="auto"/>
          <w:sz w:val="21"/>
          <w:szCs w:val="21"/>
          <w:highlight w:val="none"/>
          <w:lang w:eastAsia="zh-CN"/>
        </w:rPr>
        <w:t>咨询人</w:t>
      </w:r>
      <w:r>
        <w:rPr>
          <w:rFonts w:hint="eastAsia" w:ascii="宋体" w:hAnsi="宋体" w:eastAsia="宋体" w:cs="宋体"/>
          <w:color w:val="auto"/>
          <w:sz w:val="21"/>
          <w:szCs w:val="21"/>
          <w:highlight w:val="none"/>
        </w:rPr>
        <w:t>的图纸、</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为实施工程自行编制或委托编制的技术规范以及反映</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要求的或其他类似性质文件的著作权属于</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eastAsia="zh-CN"/>
        </w:rPr>
        <w:t>委托人</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w:t>
      </w:r>
    </w:p>
    <w:p w14:paraId="2592DD8B">
      <w:pPr>
        <w:keepNext w:val="0"/>
        <w:keepLines w:val="0"/>
        <w:pageBreakBefore w:val="0"/>
        <w:widowControl w:val="0"/>
        <w:shd w:val="clear" w:color="auto"/>
        <w:topLinePunct w:val="0"/>
        <w:autoSpaceDE/>
        <w:autoSpaceDN/>
        <w:bidi w:val="0"/>
        <w:adjustRightInd/>
        <w:snapToGrid/>
        <w:spacing w:before="0" w:beforeLines="0" w:after="0" w:afterLines="0" w:line="400" w:lineRule="exact"/>
        <w:ind w:firstLine="420" w:firstLineChars="200"/>
        <w:jc w:val="left"/>
        <w:textAlignment w:val="baseline"/>
        <w:outlineLvl w:val="0"/>
        <w:rPr>
          <w:rFonts w:hint="eastAsia" w:ascii="宋体" w:hAnsi="宋体" w:eastAsia="宋体" w:cs="宋体"/>
          <w:b/>
          <w:color w:val="auto"/>
          <w:kern w:val="0"/>
          <w:sz w:val="21"/>
          <w:szCs w:val="21"/>
          <w:highlight w:val="none"/>
          <w:lang w:val="en-US" w:eastAsia="zh-CN" w:bidi="ar-SA"/>
        </w:rPr>
      </w:pPr>
      <w:bookmarkStart w:id="166" w:name="_Toc419045125"/>
      <w:bookmarkStart w:id="167" w:name="_Toc422322556"/>
      <w:r>
        <w:rPr>
          <w:rFonts w:hint="eastAsia" w:ascii="宋体" w:hAnsi="宋体" w:eastAsia="宋体" w:cs="宋体"/>
          <w:b/>
          <w:color w:val="auto"/>
          <w:kern w:val="0"/>
          <w:sz w:val="21"/>
          <w:szCs w:val="21"/>
          <w:highlight w:val="none"/>
          <w:lang w:val="en-US" w:eastAsia="zh-CN" w:bidi="ar-SA"/>
        </w:rPr>
        <w:t>9.造价咨询服务过程控制</w:t>
      </w:r>
    </w:p>
    <w:p w14:paraId="474048FD">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接收项目资料后应确定项目造价负责人，配置相应的造价人员。</w:t>
      </w:r>
    </w:p>
    <w:p w14:paraId="767220E0">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9.2项目造价咨询服务负责人应根据造价咨询服务要求，按要求完成造价咨询服务任务。</w:t>
      </w:r>
    </w:p>
    <w:p w14:paraId="52777799">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根据造价咨询服务的需要，要求所有项目必须进行现场踏勘，</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负责联系项目组并参加现场踏勘。</w:t>
      </w:r>
    </w:p>
    <w:p w14:paraId="332AD0AB">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不得与施工单位私下接触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但为确保造价咨询服务的顺利进行，必要的沟通和协调应在</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的参与下进行；必须从</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获取造价咨询服务资料，在项目造价咨询服务过程中，若确需项目增补其他资料的，咨询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应当及时</w:t>
      </w:r>
      <w:r>
        <w:rPr>
          <w:rFonts w:hint="eastAsia" w:ascii="宋体" w:hAnsi="宋体" w:eastAsia="宋体" w:cs="宋体"/>
          <w:color w:val="auto"/>
          <w:sz w:val="21"/>
          <w:szCs w:val="21"/>
          <w:highlight w:val="none"/>
          <w:lang w:val="en-US" w:eastAsia="zh-CN"/>
        </w:rPr>
        <w:t>向</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反馈，提出书面申请；现场资料移交必须形成书面记录。</w:t>
      </w:r>
    </w:p>
    <w:p w14:paraId="2D0C32AB">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在执行造价咨询服务业务过程中，对有较大争议或分歧的问题，咨询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应及时向</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提出书面报告，不得擅自处理。</w:t>
      </w:r>
    </w:p>
    <w:p w14:paraId="6E425964">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10.造价咨询服务成果控制</w:t>
      </w:r>
    </w:p>
    <w:p w14:paraId="404CBDFE">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应对项目造价咨询服务情况和结果，对造价咨询服务中发现的重要问题要做审核说明。</w:t>
      </w:r>
    </w:p>
    <w:p w14:paraId="7975118D">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应当按照合同约定履行义务，造价咨询服务工作必须安排本单位注册的造价师和造价人员完成，不得将受托造价咨询服务项目转包或分包给其他单位或个人，不得中途更改所作的书面承诺。否则，一经调查核实后将立即中止合同，已发生的费用由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自行承担。</w:t>
      </w:r>
    </w:p>
    <w:p w14:paraId="25F61B10">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参与造价咨询服务的咨询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的人员与造价咨询服务项目有利害关系的应当实行回避制度。</w:t>
      </w:r>
    </w:p>
    <w:p w14:paraId="72B4C6F9">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及相关专业人员参与造价咨询服务工作，应遵守国家造价咨询服务法律、法规和规章，遵守相关造价咨询服务工作纪律和造价咨询服务职业道德，保持必要的执业谨慎。对涉及国家秘密、商业秘密的造价咨询服务项目或者事项，造价咨询机构或相关专业人员，遵守保密纪律，履行保密义务。</w:t>
      </w:r>
    </w:p>
    <w:p w14:paraId="567AA81E">
      <w:pPr>
        <w:keepNext w:val="0"/>
        <w:keepLines w:val="0"/>
        <w:pageBreakBefore w:val="0"/>
        <w:shd w:val="clear" w:color="auto"/>
        <w:tabs>
          <w:tab w:val="left" w:pos="900"/>
        </w:tabs>
        <w:topLinePunct w:val="0"/>
        <w:autoSpaceDE/>
        <w:autoSpaceDN/>
        <w:bidi w:val="0"/>
        <w:adjustRightInd/>
        <w:snapToGrid/>
        <w:spacing w:line="400" w:lineRule="exact"/>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实行质量复核考核体系，由</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对咨询</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完成的项目进行抽查复核，对造价咨询服务质量、造价咨询服务人员执业行为及廉政情况，进行考核。考核结果在</w:t>
      </w:r>
      <w:r>
        <w:rPr>
          <w:rFonts w:hint="eastAsia" w:ascii="宋体" w:hAnsi="宋体" w:eastAsia="宋体" w:cs="宋体"/>
          <w:color w:val="auto"/>
          <w:sz w:val="21"/>
          <w:szCs w:val="21"/>
          <w:highlight w:val="none"/>
          <w:lang w:eastAsia="zh-CN"/>
        </w:rPr>
        <w:t>委托人</w:t>
      </w:r>
      <w:r>
        <w:rPr>
          <w:rFonts w:hint="eastAsia" w:ascii="宋体" w:hAnsi="宋体" w:eastAsia="宋体" w:cs="宋体"/>
          <w:color w:val="auto"/>
          <w:sz w:val="21"/>
          <w:szCs w:val="21"/>
          <w:highlight w:val="none"/>
        </w:rPr>
        <w:t>存档备案，作为业绩评定的重要依据。</w:t>
      </w:r>
    </w:p>
    <w:p w14:paraId="40193394">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rPr>
        <w:t>14.</w:t>
      </w:r>
      <w:r>
        <w:rPr>
          <w:rFonts w:hint="eastAsia" w:ascii="宋体" w:hAnsi="宋体" w:eastAsia="宋体" w:cs="宋体"/>
          <w:b/>
          <w:color w:val="auto"/>
          <w:kern w:val="0"/>
          <w:sz w:val="21"/>
          <w:szCs w:val="21"/>
          <w:highlight w:val="none"/>
        </w:rPr>
        <w:t>补充条款</w:t>
      </w:r>
      <w:bookmarkEnd w:id="166"/>
      <w:bookmarkEnd w:id="167"/>
    </w:p>
    <w:p w14:paraId="244E96FC">
      <w:pPr>
        <w:keepNext w:val="0"/>
        <w:keepLines w:val="0"/>
        <w:pageBreakBefore w:val="0"/>
        <w:shd w:val="clear" w:color="auto"/>
        <w:topLinePunct w:val="0"/>
        <w:autoSpaceDE/>
        <w:autoSpaceDN/>
        <w:bidi w:val="0"/>
        <w:adjustRightInd/>
        <w:snapToGrid/>
        <w:spacing w:line="400" w:lineRule="exact"/>
        <w:ind w:firstLine="420" w:firstLineChars="200"/>
        <w:rPr>
          <w:rFonts w:hint="eastAsia" w:ascii="宋体" w:hAnsi="宋体" w:eastAsia="宋体" w:cs="宋体"/>
          <w:color w:val="auto"/>
          <w:kern w:val="1"/>
          <w:szCs w:val="21"/>
          <w:highlight w:val="none"/>
          <w:lang w:val="en-US" w:eastAsia="zh-CN"/>
        </w:rPr>
      </w:pPr>
      <w:r>
        <w:rPr>
          <w:rFonts w:hint="eastAsia" w:ascii="宋体" w:hAnsi="宋体" w:cs="宋体"/>
          <w:color w:val="auto"/>
          <w:kern w:val="1"/>
          <w:szCs w:val="21"/>
          <w:highlight w:val="none"/>
          <w:lang w:val="en-US" w:eastAsia="zh-CN"/>
        </w:rPr>
        <w:t>无</w:t>
      </w:r>
    </w:p>
    <w:p w14:paraId="155F2D75">
      <w:pPr>
        <w:shd w:val="clear"/>
        <w:spacing w:line="360" w:lineRule="auto"/>
        <w:rPr>
          <w:rFonts w:ascii="Times New Roman" w:hAnsi="Times New Roman" w:eastAsia="仿宋_GB2312" w:cs="Times New Roman"/>
          <w:color w:val="auto"/>
          <w:sz w:val="30"/>
          <w:szCs w:val="30"/>
          <w:highlight w:val="none"/>
        </w:rPr>
        <w:sectPr>
          <w:footerReference r:id="rId5" w:type="first"/>
          <w:footerReference r:id="rId4" w:type="default"/>
          <w:pgSz w:w="11905" w:h="16838"/>
          <w:pgMar w:top="1134" w:right="1134" w:bottom="1134" w:left="1134" w:header="851" w:footer="992" w:gutter="0"/>
          <w:pgNumType w:fmt="decimal"/>
          <w:cols w:space="0" w:num="1"/>
          <w:titlePg/>
          <w:rtlGutter w:val="0"/>
          <w:docGrid w:type="lines" w:linePitch="312" w:charSpace="0"/>
        </w:sectPr>
      </w:pPr>
    </w:p>
    <w:p w14:paraId="65449EDF">
      <w:pPr>
        <w:shd w:val="clear"/>
        <w:rPr>
          <w:rFonts w:asciiTheme="minorHAnsi" w:hAnsiTheme="minorHAnsi" w:eastAsiaTheme="minorEastAsia" w:cstheme="minorBidi"/>
          <w:color w:val="auto"/>
          <w:szCs w:val="22"/>
          <w:highlight w:val="none"/>
        </w:rPr>
      </w:pPr>
    </w:p>
    <w:p w14:paraId="5F17F662">
      <w:pPr>
        <w:shd w:val="clear"/>
        <w:snapToGrid w:val="0"/>
        <w:spacing w:line="370" w:lineRule="exact"/>
        <w:ind w:left="0" w:leftChars="0" w:firstLine="0" w:firstLineChars="0"/>
        <w:outlineLvl w:val="9"/>
        <w:rPr>
          <w:rFonts w:ascii="宋体" w:hAnsi="宋体"/>
          <w:color w:val="auto"/>
          <w:szCs w:val="20"/>
          <w:highlight w:val="none"/>
        </w:rPr>
      </w:pPr>
    </w:p>
    <w:p w14:paraId="5A34CFDC">
      <w:pPr>
        <w:shd w:val="clear"/>
        <w:spacing w:line="400" w:lineRule="exact"/>
        <w:jc w:val="center"/>
        <w:rPr>
          <w:rFonts w:hint="eastAsia" w:ascii="宋体" w:hAnsi="宋体"/>
          <w:color w:val="auto"/>
          <w:sz w:val="32"/>
          <w:szCs w:val="32"/>
          <w:highlight w:val="none"/>
        </w:rPr>
      </w:pPr>
    </w:p>
    <w:p w14:paraId="5FEAE442">
      <w:pPr>
        <w:shd w:val="clear"/>
        <w:spacing w:line="400" w:lineRule="exact"/>
        <w:jc w:val="center"/>
        <w:rPr>
          <w:rFonts w:hint="eastAsia" w:ascii="宋体" w:hAnsi="宋体"/>
          <w:color w:val="auto"/>
          <w:sz w:val="32"/>
          <w:szCs w:val="32"/>
          <w:highlight w:val="none"/>
        </w:rPr>
      </w:pPr>
    </w:p>
    <w:p w14:paraId="1A50F307">
      <w:pPr>
        <w:shd w:val="clear"/>
        <w:spacing w:line="400" w:lineRule="exact"/>
        <w:jc w:val="center"/>
        <w:rPr>
          <w:rFonts w:hint="eastAsia" w:ascii="宋体" w:hAnsi="宋体"/>
          <w:color w:val="auto"/>
          <w:sz w:val="32"/>
          <w:szCs w:val="32"/>
          <w:highlight w:val="none"/>
        </w:rPr>
      </w:pPr>
    </w:p>
    <w:p w14:paraId="5AA24D5D">
      <w:pPr>
        <w:shd w:val="clear"/>
        <w:spacing w:line="400" w:lineRule="exact"/>
        <w:jc w:val="center"/>
        <w:rPr>
          <w:rFonts w:hint="eastAsia" w:ascii="宋体" w:hAnsi="宋体"/>
          <w:color w:val="auto"/>
          <w:sz w:val="32"/>
          <w:szCs w:val="32"/>
          <w:highlight w:val="none"/>
        </w:rPr>
      </w:pPr>
    </w:p>
    <w:p w14:paraId="725C0D70">
      <w:pPr>
        <w:shd w:val="clear"/>
        <w:spacing w:line="400" w:lineRule="exact"/>
        <w:jc w:val="center"/>
        <w:rPr>
          <w:rFonts w:hint="eastAsia" w:ascii="宋体" w:hAnsi="宋体"/>
          <w:color w:val="auto"/>
          <w:sz w:val="32"/>
          <w:szCs w:val="32"/>
          <w:highlight w:val="none"/>
        </w:rPr>
      </w:pPr>
    </w:p>
    <w:p w14:paraId="3622E0B7">
      <w:pPr>
        <w:shd w:val="clear"/>
        <w:spacing w:line="400" w:lineRule="exact"/>
        <w:jc w:val="center"/>
        <w:rPr>
          <w:rFonts w:hint="eastAsia" w:ascii="宋体" w:hAnsi="宋体"/>
          <w:color w:val="auto"/>
          <w:sz w:val="32"/>
          <w:szCs w:val="32"/>
          <w:highlight w:val="none"/>
        </w:rPr>
      </w:pPr>
    </w:p>
    <w:p w14:paraId="3734932F">
      <w:pPr>
        <w:shd w:val="clear"/>
        <w:spacing w:line="400" w:lineRule="exact"/>
        <w:jc w:val="center"/>
        <w:rPr>
          <w:rFonts w:hint="eastAsia" w:ascii="宋体" w:hAnsi="宋体"/>
          <w:color w:val="auto"/>
          <w:sz w:val="32"/>
          <w:szCs w:val="32"/>
          <w:highlight w:val="none"/>
        </w:rPr>
      </w:pPr>
    </w:p>
    <w:p w14:paraId="3E10CCCF">
      <w:pPr>
        <w:shd w:val="clear"/>
        <w:spacing w:line="400" w:lineRule="exact"/>
        <w:jc w:val="center"/>
        <w:rPr>
          <w:rFonts w:hint="eastAsia" w:ascii="宋体" w:hAnsi="宋体"/>
          <w:color w:val="auto"/>
          <w:sz w:val="32"/>
          <w:szCs w:val="32"/>
          <w:highlight w:val="none"/>
        </w:rPr>
      </w:pPr>
    </w:p>
    <w:p w14:paraId="7C4B8C8E">
      <w:pPr>
        <w:shd w:val="clear"/>
        <w:spacing w:line="400" w:lineRule="exact"/>
        <w:jc w:val="center"/>
        <w:rPr>
          <w:rFonts w:hint="eastAsia" w:ascii="宋体" w:hAnsi="宋体"/>
          <w:color w:val="auto"/>
          <w:sz w:val="32"/>
          <w:szCs w:val="32"/>
          <w:highlight w:val="none"/>
        </w:rPr>
      </w:pPr>
    </w:p>
    <w:p w14:paraId="22ABCF2D">
      <w:pPr>
        <w:shd w:val="clear"/>
        <w:spacing w:line="400" w:lineRule="exact"/>
        <w:jc w:val="center"/>
        <w:rPr>
          <w:rFonts w:hint="eastAsia" w:ascii="宋体" w:hAnsi="宋体"/>
          <w:color w:val="auto"/>
          <w:sz w:val="32"/>
          <w:szCs w:val="32"/>
          <w:highlight w:val="none"/>
        </w:rPr>
      </w:pPr>
    </w:p>
    <w:p w14:paraId="28442FCB">
      <w:pPr>
        <w:shd w:val="clear"/>
        <w:spacing w:line="400" w:lineRule="exact"/>
        <w:jc w:val="center"/>
        <w:rPr>
          <w:rFonts w:hint="eastAsia" w:ascii="宋体" w:hAnsi="宋体"/>
          <w:color w:val="auto"/>
          <w:sz w:val="32"/>
          <w:szCs w:val="32"/>
          <w:highlight w:val="none"/>
        </w:rPr>
      </w:pPr>
    </w:p>
    <w:p w14:paraId="3C695DDA">
      <w:pPr>
        <w:shd w:val="clear"/>
        <w:spacing w:line="400" w:lineRule="exact"/>
        <w:jc w:val="center"/>
        <w:rPr>
          <w:rFonts w:hint="eastAsia" w:ascii="宋体" w:hAnsi="宋体"/>
          <w:color w:val="auto"/>
          <w:sz w:val="32"/>
          <w:szCs w:val="32"/>
          <w:highlight w:val="none"/>
        </w:rPr>
      </w:pPr>
    </w:p>
    <w:p w14:paraId="2BFCA5E0">
      <w:pPr>
        <w:pStyle w:val="15"/>
        <w:shd w:val="clear"/>
        <w:rPr>
          <w:rFonts w:hint="eastAsia"/>
          <w:color w:val="auto"/>
          <w:kern w:val="0"/>
          <w:sz w:val="44"/>
          <w:szCs w:val="44"/>
          <w:highlight w:val="none"/>
        </w:rPr>
      </w:pPr>
      <w:bookmarkStart w:id="168" w:name="_Toc476258673"/>
      <w:bookmarkStart w:id="169" w:name="_Toc476258761"/>
      <w:r>
        <w:rPr>
          <w:rFonts w:hint="eastAsia"/>
          <w:color w:val="auto"/>
          <w:kern w:val="0"/>
          <w:sz w:val="44"/>
          <w:szCs w:val="44"/>
          <w:highlight w:val="none"/>
        </w:rPr>
        <w:t>第六章  评标标准</w:t>
      </w:r>
      <w:bookmarkEnd w:id="168"/>
      <w:bookmarkEnd w:id="169"/>
    </w:p>
    <w:p w14:paraId="4610953D">
      <w:pPr>
        <w:pStyle w:val="10"/>
        <w:shd w:val="clear"/>
        <w:spacing w:line="440" w:lineRule="exact"/>
        <w:rPr>
          <w:rFonts w:hint="eastAsia" w:ascii="黑体" w:hAnsi="宋体" w:eastAsia="黑体"/>
          <w:b/>
          <w:color w:val="auto"/>
          <w:kern w:val="0"/>
          <w:sz w:val="32"/>
          <w:szCs w:val="32"/>
          <w:highlight w:val="none"/>
        </w:rPr>
      </w:pPr>
    </w:p>
    <w:p w14:paraId="1A9F6B4C">
      <w:pPr>
        <w:pStyle w:val="10"/>
        <w:shd w:val="clear"/>
        <w:spacing w:line="440" w:lineRule="exact"/>
        <w:rPr>
          <w:rFonts w:hint="eastAsia" w:ascii="黑体" w:hAnsi="宋体" w:eastAsia="黑体"/>
          <w:b/>
          <w:color w:val="auto"/>
          <w:kern w:val="0"/>
          <w:sz w:val="32"/>
          <w:szCs w:val="32"/>
          <w:highlight w:val="none"/>
        </w:rPr>
      </w:pPr>
    </w:p>
    <w:p w14:paraId="2D93F1BA">
      <w:pPr>
        <w:pStyle w:val="10"/>
        <w:shd w:val="clear"/>
        <w:spacing w:line="440" w:lineRule="exact"/>
        <w:rPr>
          <w:rFonts w:hint="eastAsia" w:ascii="黑体" w:hAnsi="宋体" w:eastAsia="黑体"/>
          <w:b/>
          <w:color w:val="auto"/>
          <w:kern w:val="0"/>
          <w:sz w:val="32"/>
          <w:szCs w:val="32"/>
          <w:highlight w:val="none"/>
        </w:rPr>
      </w:pPr>
    </w:p>
    <w:p w14:paraId="040CD4C5">
      <w:pPr>
        <w:pStyle w:val="10"/>
        <w:shd w:val="clear"/>
        <w:spacing w:line="440" w:lineRule="exact"/>
        <w:rPr>
          <w:rFonts w:hint="eastAsia" w:ascii="黑体" w:hAnsi="宋体" w:eastAsia="黑体"/>
          <w:b/>
          <w:color w:val="auto"/>
          <w:kern w:val="0"/>
          <w:sz w:val="32"/>
          <w:szCs w:val="32"/>
          <w:highlight w:val="none"/>
        </w:rPr>
      </w:pPr>
    </w:p>
    <w:p w14:paraId="7040F498">
      <w:pPr>
        <w:pStyle w:val="10"/>
        <w:shd w:val="clear"/>
        <w:spacing w:line="440" w:lineRule="exact"/>
        <w:rPr>
          <w:rFonts w:hint="eastAsia" w:ascii="黑体" w:hAnsi="宋体" w:eastAsia="黑体"/>
          <w:b/>
          <w:color w:val="auto"/>
          <w:kern w:val="0"/>
          <w:sz w:val="32"/>
          <w:szCs w:val="32"/>
          <w:highlight w:val="none"/>
        </w:rPr>
      </w:pPr>
    </w:p>
    <w:p w14:paraId="184F8259">
      <w:pPr>
        <w:pStyle w:val="10"/>
        <w:shd w:val="clear"/>
        <w:spacing w:line="440" w:lineRule="exact"/>
        <w:rPr>
          <w:rFonts w:hint="eastAsia" w:ascii="黑体" w:hAnsi="宋体" w:eastAsia="黑体"/>
          <w:b/>
          <w:color w:val="auto"/>
          <w:kern w:val="0"/>
          <w:sz w:val="32"/>
          <w:szCs w:val="32"/>
          <w:highlight w:val="none"/>
        </w:rPr>
      </w:pPr>
    </w:p>
    <w:p w14:paraId="1A455B55">
      <w:pPr>
        <w:pStyle w:val="10"/>
        <w:shd w:val="clear"/>
        <w:spacing w:line="440" w:lineRule="exact"/>
        <w:rPr>
          <w:rFonts w:hint="eastAsia" w:ascii="黑体" w:hAnsi="宋体" w:eastAsia="黑体"/>
          <w:b/>
          <w:color w:val="auto"/>
          <w:kern w:val="0"/>
          <w:sz w:val="32"/>
          <w:szCs w:val="32"/>
          <w:highlight w:val="none"/>
        </w:rPr>
      </w:pPr>
    </w:p>
    <w:p w14:paraId="21CFE4EA">
      <w:pPr>
        <w:pStyle w:val="10"/>
        <w:shd w:val="clear"/>
        <w:spacing w:line="440" w:lineRule="exact"/>
        <w:rPr>
          <w:rFonts w:hint="eastAsia" w:ascii="黑体" w:hAnsi="宋体" w:eastAsia="黑体"/>
          <w:b/>
          <w:color w:val="auto"/>
          <w:kern w:val="0"/>
          <w:sz w:val="32"/>
          <w:szCs w:val="32"/>
          <w:highlight w:val="none"/>
        </w:rPr>
      </w:pPr>
    </w:p>
    <w:p w14:paraId="3608E41D">
      <w:pPr>
        <w:pStyle w:val="10"/>
        <w:shd w:val="clear"/>
        <w:spacing w:line="440" w:lineRule="exact"/>
        <w:rPr>
          <w:rFonts w:hint="eastAsia" w:ascii="黑体" w:hAnsi="宋体" w:eastAsia="黑体"/>
          <w:b/>
          <w:color w:val="auto"/>
          <w:kern w:val="0"/>
          <w:sz w:val="32"/>
          <w:szCs w:val="32"/>
          <w:highlight w:val="none"/>
        </w:rPr>
      </w:pPr>
    </w:p>
    <w:p w14:paraId="70B37E8F">
      <w:pPr>
        <w:pStyle w:val="10"/>
        <w:shd w:val="clear"/>
        <w:spacing w:line="440" w:lineRule="exact"/>
        <w:rPr>
          <w:rFonts w:hint="eastAsia" w:ascii="黑体" w:hAnsi="宋体" w:eastAsia="黑体"/>
          <w:b/>
          <w:color w:val="auto"/>
          <w:kern w:val="0"/>
          <w:sz w:val="32"/>
          <w:szCs w:val="32"/>
          <w:highlight w:val="none"/>
        </w:rPr>
      </w:pPr>
    </w:p>
    <w:p w14:paraId="6E4BDE23">
      <w:pPr>
        <w:pStyle w:val="10"/>
        <w:shd w:val="clear"/>
        <w:spacing w:line="440" w:lineRule="exact"/>
        <w:rPr>
          <w:rFonts w:hint="eastAsia" w:hAnsi="宋体"/>
          <w:b/>
          <w:color w:val="auto"/>
          <w:kern w:val="0"/>
          <w:highlight w:val="none"/>
        </w:rPr>
      </w:pPr>
    </w:p>
    <w:p w14:paraId="6DDB7AE1">
      <w:pPr>
        <w:pStyle w:val="10"/>
        <w:keepNext w:val="0"/>
        <w:keepLines w:val="0"/>
        <w:pageBreakBefore w:val="0"/>
        <w:widowControl w:val="0"/>
        <w:shd w:val="clear"/>
        <w:kinsoku/>
        <w:wordWrap/>
        <w:overflowPunct/>
        <w:topLinePunct w:val="0"/>
        <w:autoSpaceDE/>
        <w:autoSpaceDN/>
        <w:bidi w:val="0"/>
        <w:snapToGrid/>
        <w:spacing w:line="380" w:lineRule="exact"/>
        <w:jc w:val="center"/>
        <w:rPr>
          <w:rFonts w:ascii="仿宋_GB2312" w:hAnsi="宋体" w:eastAsia="仿宋_GB2312"/>
          <w:b/>
          <w:color w:val="auto"/>
          <w:kern w:val="0"/>
          <w:sz w:val="32"/>
          <w:szCs w:val="32"/>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评标标准</w:t>
      </w:r>
    </w:p>
    <w:p w14:paraId="5D93F9E4">
      <w:pPr>
        <w:pStyle w:val="14"/>
        <w:keepNext w:val="0"/>
        <w:keepLines w:val="0"/>
        <w:pageBreakBefore w:val="0"/>
        <w:widowControl w:val="0"/>
        <w:shd w:val="clear"/>
        <w:kinsoku/>
        <w:wordWrap/>
        <w:overflowPunct/>
        <w:topLinePunct w:val="0"/>
        <w:autoSpaceDE/>
        <w:autoSpaceDN/>
        <w:bidi w:val="0"/>
        <w:snapToGrid/>
        <w:spacing w:line="380" w:lineRule="exact"/>
        <w:ind w:left="0"/>
        <w:jc w:val="center"/>
        <w:rPr>
          <w:rFonts w:hint="eastAsia"/>
          <w:b/>
          <w:bCs/>
          <w:color w:val="auto"/>
          <w:szCs w:val="21"/>
          <w:highlight w:val="none"/>
        </w:rPr>
      </w:pPr>
    </w:p>
    <w:p w14:paraId="57CCB0CB">
      <w:pPr>
        <w:pStyle w:val="14"/>
        <w:keepNext w:val="0"/>
        <w:keepLines w:val="0"/>
        <w:pageBreakBefore w:val="0"/>
        <w:widowControl w:val="0"/>
        <w:shd w:val="clear"/>
        <w:kinsoku/>
        <w:wordWrap/>
        <w:overflowPunct/>
        <w:topLinePunct w:val="0"/>
        <w:autoSpaceDE/>
        <w:autoSpaceDN/>
        <w:bidi w:val="0"/>
        <w:adjustRightInd w:val="0"/>
        <w:snapToGrid/>
        <w:spacing w:line="400" w:lineRule="exact"/>
        <w:ind w:left="0"/>
        <w:textAlignment w:val="baseline"/>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一、评标原则</w:t>
      </w:r>
    </w:p>
    <w:p w14:paraId="0ECE2E37">
      <w:pPr>
        <w:pStyle w:val="14"/>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cs="宋体"/>
          <w:bCs/>
          <w:color w:val="auto"/>
          <w:sz w:val="21"/>
          <w:szCs w:val="21"/>
          <w:highlight w:val="none"/>
        </w:rPr>
      </w:pPr>
      <w:r>
        <w:rPr>
          <w:rFonts w:hint="eastAsia" w:ascii="宋体" w:hAnsi="宋体" w:cs="宋体"/>
          <w:bCs/>
          <w:color w:val="auto"/>
          <w:sz w:val="21"/>
          <w:szCs w:val="21"/>
          <w:highlight w:val="none"/>
        </w:rPr>
        <w:t xml:space="preserve">    （一）磋商小组成员组成：本竞争性磋商采购项目的磋商小组由采购人代表和评审专家共三人以上的单数组成（达到公开招标数额标准以上的项目，竞争性磋商小组成员由五人以上单数组成）。其中，评审专家不得少于成员总数的三分之二。</w:t>
      </w:r>
    </w:p>
    <w:p w14:paraId="76AD272D">
      <w:pPr>
        <w:keepNext w:val="0"/>
        <w:keepLines w:val="0"/>
        <w:pageBreakBefore w:val="0"/>
        <w:widowControl w:val="0"/>
        <w:shd w:val="clear"/>
        <w:kinsoku/>
        <w:wordWrap/>
        <w:overflowPunct/>
        <w:topLinePunct w:val="0"/>
        <w:autoSpaceDE/>
        <w:autoSpaceDN/>
        <w:bidi w:val="0"/>
        <w:snapToGrid/>
        <w:spacing w:line="400" w:lineRule="exact"/>
        <w:ind w:firstLine="420"/>
        <w:rPr>
          <w:rFonts w:hint="eastAsia" w:ascii="宋体" w:hAnsi="宋体" w:cs="宋体"/>
          <w:b/>
          <w:bCs/>
          <w:color w:val="auto"/>
          <w:sz w:val="21"/>
          <w:szCs w:val="21"/>
          <w:highlight w:val="none"/>
        </w:rPr>
      </w:pPr>
      <w:r>
        <w:rPr>
          <w:rFonts w:hint="eastAsia" w:ascii="宋体" w:hAnsi="宋体" w:cs="宋体"/>
          <w:bCs/>
          <w:color w:val="auto"/>
          <w:sz w:val="21"/>
          <w:szCs w:val="21"/>
          <w:highlight w:val="none"/>
        </w:rPr>
        <w:t>（二）评标依据：评委将以竞争性磋商文件和竞争性磋商响应文件为评标依据，对供应商的</w:t>
      </w:r>
      <w:r>
        <w:rPr>
          <w:rFonts w:hint="eastAsia" w:ascii="宋体" w:hAnsi="宋体" w:cs="宋体"/>
          <w:bCs/>
          <w:color w:val="auto"/>
          <w:sz w:val="21"/>
          <w:szCs w:val="21"/>
          <w:highlight w:val="none"/>
          <w:lang w:eastAsia="zh-CN"/>
        </w:rPr>
        <w:t>响应文件</w:t>
      </w:r>
      <w:r>
        <w:rPr>
          <w:rFonts w:hint="eastAsia" w:ascii="宋体" w:hAnsi="宋体" w:cs="宋体"/>
          <w:bCs/>
          <w:color w:val="auto"/>
          <w:sz w:val="21"/>
          <w:szCs w:val="21"/>
          <w:highlight w:val="none"/>
        </w:rPr>
        <w:t>内容按百分制打分。</w:t>
      </w:r>
    </w:p>
    <w:p w14:paraId="5A3D2030">
      <w:pPr>
        <w:pStyle w:val="14"/>
        <w:keepNext w:val="0"/>
        <w:keepLines w:val="0"/>
        <w:pageBreakBefore w:val="0"/>
        <w:widowControl w:val="0"/>
        <w:shd w:val="clear"/>
        <w:kinsoku/>
        <w:wordWrap/>
        <w:overflowPunct/>
        <w:topLinePunct w:val="0"/>
        <w:autoSpaceDE/>
        <w:autoSpaceDN/>
        <w:bidi w:val="0"/>
        <w:snapToGrid/>
        <w:spacing w:line="400" w:lineRule="exact"/>
        <w:ind w:left="0"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（三）评标方式：以封闭方式进行。</w:t>
      </w:r>
    </w:p>
    <w:p w14:paraId="05A200F5">
      <w:pPr>
        <w:pStyle w:val="14"/>
        <w:keepNext w:val="0"/>
        <w:keepLines w:val="0"/>
        <w:pageBreakBefore w:val="0"/>
        <w:widowControl w:val="0"/>
        <w:shd w:val="clear"/>
        <w:kinsoku/>
        <w:wordWrap/>
        <w:overflowPunct/>
        <w:topLinePunct w:val="0"/>
        <w:autoSpaceDE/>
        <w:autoSpaceDN/>
        <w:bidi w:val="0"/>
        <w:adjustRightInd w:val="0"/>
        <w:snapToGrid/>
        <w:spacing w:line="400" w:lineRule="exact"/>
        <w:ind w:left="0"/>
        <w:textAlignment w:val="baseline"/>
        <w:outlineLvl w:val="1"/>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二、评标方法</w:t>
      </w:r>
    </w:p>
    <w:p w14:paraId="591AF326">
      <w:pPr>
        <w:pStyle w:val="14"/>
        <w:keepNext w:val="0"/>
        <w:keepLines w:val="0"/>
        <w:pageBreakBefore w:val="0"/>
        <w:widowControl w:val="0"/>
        <w:shd w:val="clear"/>
        <w:kinsoku/>
        <w:wordWrap/>
        <w:overflowPunct/>
        <w:topLinePunct w:val="0"/>
        <w:autoSpaceDE/>
        <w:autoSpaceDN/>
        <w:bidi w:val="0"/>
        <w:snapToGrid/>
        <w:spacing w:line="400" w:lineRule="exact"/>
        <w:ind w:left="0"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（一）对进入详评的，采用百分制综合评分法。</w:t>
      </w:r>
    </w:p>
    <w:p w14:paraId="6118E042">
      <w:pPr>
        <w:pStyle w:val="14"/>
        <w:keepNext w:val="0"/>
        <w:keepLines w:val="0"/>
        <w:pageBreakBefore w:val="0"/>
        <w:widowControl w:val="0"/>
        <w:shd w:val="clear"/>
        <w:kinsoku/>
        <w:wordWrap/>
        <w:overflowPunct/>
        <w:topLinePunct w:val="0"/>
        <w:autoSpaceDE/>
        <w:autoSpaceDN/>
        <w:bidi w:val="0"/>
        <w:snapToGrid/>
        <w:spacing w:line="400" w:lineRule="exact"/>
        <w:ind w:left="0"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（二）计分办法（按四舍五入取至百分位）：</w:t>
      </w:r>
    </w:p>
    <w:p w14:paraId="45470854">
      <w:pPr>
        <w:keepNext w:val="0"/>
        <w:keepLines w:val="0"/>
        <w:pageBreakBefore w:val="0"/>
        <w:widowControl w:val="0"/>
        <w:shd w:val="clear"/>
        <w:kinsoku/>
        <w:wordWrap/>
        <w:overflowPunct/>
        <w:topLinePunct w:val="0"/>
        <w:autoSpaceDE/>
        <w:autoSpaceDN/>
        <w:bidi w:val="0"/>
        <w:adjustRightInd/>
        <w:snapToGrid/>
        <w:spacing w:line="40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1、价格分………………………………………………………………………………………………………</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p w14:paraId="5846797F">
      <w:pPr>
        <w:pStyle w:val="10"/>
        <w:keepNext w:val="0"/>
        <w:keepLines w:val="0"/>
        <w:pageBreakBefore w:val="0"/>
        <w:widowControl w:val="0"/>
        <w:shd w:val="clear"/>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（1）</w:t>
      </w:r>
      <w:r>
        <w:rPr>
          <w:rFonts w:hint="eastAsia" w:ascii="宋体" w:hAnsi="宋体" w:eastAsia="宋体" w:cs="宋体"/>
          <w:color w:val="auto"/>
          <w:sz w:val="21"/>
          <w:szCs w:val="21"/>
          <w:highlight w:val="none"/>
        </w:rPr>
        <w:t>符合《政府采购促进中小企业发展管理办法》（财库﹝2020﹞46 号）规定情形且</w:t>
      </w:r>
      <w:r>
        <w:rPr>
          <w:rFonts w:hint="eastAsia" w:ascii="宋体" w:hAnsi="宋体" w:eastAsia="宋体" w:cs="宋体"/>
          <w:bCs/>
          <w:color w:val="auto"/>
          <w:sz w:val="21"/>
          <w:szCs w:val="21"/>
          <w:highlight w:val="none"/>
        </w:rPr>
        <w:t>按该办法中规定的格式提供了《中小企业声明函》的</w:t>
      </w:r>
      <w:r>
        <w:rPr>
          <w:rFonts w:hint="eastAsia" w:ascii="宋体" w:hAnsi="宋体" w:eastAsia="宋体" w:cs="宋体"/>
          <w:bCs/>
          <w:color w:val="auto"/>
          <w:kern w:val="0"/>
          <w:sz w:val="21"/>
          <w:szCs w:val="21"/>
          <w:highlight w:val="none"/>
        </w:rPr>
        <w:t>，对其最后报价给予</w:t>
      </w:r>
      <w:r>
        <w:rPr>
          <w:rFonts w:hint="eastAsia"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%的</w:t>
      </w:r>
      <w:r>
        <w:rPr>
          <w:rFonts w:hint="eastAsia" w:ascii="宋体" w:hAnsi="宋体" w:eastAsia="宋体" w:cs="宋体"/>
          <w:bCs/>
          <w:color w:val="auto"/>
          <w:kern w:val="0"/>
          <w:sz w:val="21"/>
          <w:szCs w:val="21"/>
          <w:highlight w:val="none"/>
          <w:lang w:val="en-US" w:eastAsia="zh-CN"/>
        </w:rPr>
        <w:t>优惠</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val="en-US" w:eastAsia="zh-CN"/>
        </w:rPr>
        <w:t>优惠</w:t>
      </w:r>
      <w:r>
        <w:rPr>
          <w:rFonts w:hint="eastAsia" w:ascii="宋体" w:hAnsi="宋体" w:eastAsia="宋体" w:cs="宋体"/>
          <w:bCs/>
          <w:color w:val="auto"/>
          <w:kern w:val="0"/>
          <w:sz w:val="21"/>
          <w:szCs w:val="21"/>
          <w:highlight w:val="none"/>
        </w:rPr>
        <w:t>后的价格为评标报价，即评标报价=最后</w:t>
      </w:r>
      <w:r>
        <w:rPr>
          <w:rFonts w:hint="eastAsia" w:ascii="宋体" w:hAnsi="宋体" w:eastAsia="宋体" w:cs="宋体"/>
          <w:bCs/>
          <w:color w:val="auto"/>
          <w:kern w:val="0"/>
          <w:sz w:val="21"/>
          <w:szCs w:val="21"/>
          <w:highlight w:val="none"/>
          <w:lang w:val="en-US" w:eastAsia="zh-CN"/>
        </w:rPr>
        <w:t>优惠率</w:t>
      </w:r>
      <w:r>
        <w:rPr>
          <w:rFonts w:hint="eastAsia" w:ascii="宋体" w:hAnsi="宋体" w:eastAsia="宋体" w:cs="宋体"/>
          <w:bCs/>
          <w:color w:val="auto"/>
          <w:kern w:val="0"/>
          <w:sz w:val="21"/>
          <w:szCs w:val="21"/>
          <w:highlight w:val="none"/>
        </w:rPr>
        <w:t>报价×（1</w:t>
      </w:r>
      <w:r>
        <w:rPr>
          <w:rFonts w:hint="eastAsia" w:ascii="宋体" w:hAnsi="宋体" w:eastAsia="宋体" w:cs="宋体"/>
          <w:bCs/>
          <w:color w:val="auto"/>
          <w:kern w:val="0"/>
          <w:sz w:val="21"/>
          <w:szCs w:val="21"/>
          <w:highlight w:val="none"/>
          <w:lang w:val="en-US" w:eastAsia="zh-CN"/>
        </w:rPr>
        <w:t>+</w:t>
      </w:r>
      <w:r>
        <w:rPr>
          <w:rFonts w:hint="eastAsia" w:hAnsi="宋体" w:cs="宋体"/>
          <w:bCs/>
          <w:color w:val="auto"/>
          <w:kern w:val="0"/>
          <w:sz w:val="21"/>
          <w:szCs w:val="21"/>
          <w:highlight w:val="none"/>
          <w:lang w:val="en-US" w:eastAsia="zh-CN"/>
        </w:rPr>
        <w:t>10</w:t>
      </w:r>
      <w:r>
        <w:rPr>
          <w:rFonts w:hint="eastAsia" w:ascii="宋体" w:hAnsi="宋体" w:eastAsia="宋体" w:cs="宋体"/>
          <w:bCs/>
          <w:color w:val="auto"/>
          <w:kern w:val="0"/>
          <w:sz w:val="21"/>
          <w:szCs w:val="21"/>
          <w:highlight w:val="none"/>
        </w:rPr>
        <w:t>%）；除上述情况外，评标报价=最后</w:t>
      </w:r>
      <w:r>
        <w:rPr>
          <w:rFonts w:hint="eastAsia" w:ascii="宋体" w:hAnsi="宋体" w:eastAsia="宋体" w:cs="宋体"/>
          <w:bCs/>
          <w:color w:val="auto"/>
          <w:kern w:val="0"/>
          <w:sz w:val="21"/>
          <w:szCs w:val="21"/>
          <w:highlight w:val="none"/>
          <w:lang w:val="en-US" w:eastAsia="zh-CN"/>
        </w:rPr>
        <w:t>优惠率</w:t>
      </w:r>
      <w:r>
        <w:rPr>
          <w:rFonts w:hint="eastAsia" w:ascii="宋体" w:hAnsi="宋体" w:eastAsia="宋体" w:cs="宋体"/>
          <w:bCs/>
          <w:color w:val="auto"/>
          <w:kern w:val="0"/>
          <w:sz w:val="21"/>
          <w:szCs w:val="21"/>
          <w:highlight w:val="none"/>
        </w:rPr>
        <w:t>报价。</w:t>
      </w:r>
    </w:p>
    <w:p w14:paraId="6AD7EAE5">
      <w:pPr>
        <w:pStyle w:val="10"/>
        <w:keepNext w:val="0"/>
        <w:keepLines w:val="0"/>
        <w:pageBreakBefore w:val="0"/>
        <w:widowControl w:val="0"/>
        <w:shd w:val="clear"/>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按照《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77CEFADF">
      <w:pPr>
        <w:pStyle w:val="10"/>
        <w:keepNext w:val="0"/>
        <w:keepLines w:val="0"/>
        <w:pageBreakBefore w:val="0"/>
        <w:widowControl w:val="0"/>
        <w:shd w:val="clear"/>
        <w:kinsoku/>
        <w:wordWrap/>
        <w:overflowPunct/>
        <w:topLinePunct w:val="0"/>
        <w:autoSpaceDE/>
        <w:autoSpaceDN/>
        <w:bidi w:val="0"/>
        <w:snapToGrid/>
        <w:spacing w:line="380" w:lineRule="exact"/>
        <w:ind w:firstLine="420" w:firstLineChars="20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关于促进残疾人就业政府采购政策的通知》(财库〔2017〕141号)规定条件，认定为残疾人福利性单位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w:t>
      </w:r>
    </w:p>
    <w:p w14:paraId="3E8D019C">
      <w:pPr>
        <w:keepNext w:val="0"/>
        <w:keepLines w:val="0"/>
        <w:pageBreakBefore w:val="0"/>
        <w:widowControl w:val="0"/>
        <w:shd w:val="clear"/>
        <w:tabs>
          <w:tab w:val="right" w:leader="dot" w:pos="9185"/>
        </w:tabs>
        <w:kinsoku/>
        <w:wordWrap/>
        <w:overflowPunct/>
        <w:topLinePunct w:val="0"/>
        <w:autoSpaceDE/>
        <w:autoSpaceDN/>
        <w:bidi w:val="0"/>
        <w:adjustRightInd/>
        <w:snapToGrid/>
        <w:spacing w:line="400" w:lineRule="exact"/>
        <w:ind w:left="0" w:firstLine="420" w:firstLineChars="200"/>
        <w:jc w:val="both"/>
        <w:textAlignment w:val="baseline"/>
        <w:rPr>
          <w:rFonts w:hint="eastAsia" w:ascii="宋体" w:hAnsi="宋体" w:eastAsia="宋体" w:cs="宋体"/>
          <w:bCs/>
          <w:color w:val="auto"/>
          <w:kern w:val="0"/>
          <w:sz w:val="21"/>
          <w:szCs w:val="20"/>
          <w:highlight w:val="none"/>
          <w:lang w:val="en-US" w:eastAsia="zh-CN" w:bidi="ar-SA"/>
        </w:rPr>
      </w:pPr>
      <w:r>
        <w:rPr>
          <w:rFonts w:hint="eastAsia" w:hAnsi="宋体" w:cs="宋体"/>
          <w:bCs/>
          <w:color w:val="auto"/>
          <w:kern w:val="0"/>
          <w:sz w:val="21"/>
          <w:szCs w:val="20"/>
          <w:highlight w:val="none"/>
          <w:lang w:val="en-US" w:eastAsia="zh-CN" w:bidi="ar-SA"/>
        </w:rPr>
        <w:t>（2</w:t>
      </w:r>
      <w:r>
        <w:rPr>
          <w:rFonts w:hint="eastAsia" w:ascii="宋体" w:hAnsi="宋体" w:eastAsia="宋体" w:cs="宋体"/>
          <w:bCs/>
          <w:color w:val="auto"/>
          <w:kern w:val="0"/>
          <w:sz w:val="21"/>
          <w:szCs w:val="20"/>
          <w:highlight w:val="none"/>
          <w:lang w:val="en-US" w:eastAsia="zh-CN" w:bidi="ar-SA"/>
        </w:rPr>
        <w:t>）以进入评审的最高的</w:t>
      </w:r>
      <w:r>
        <w:rPr>
          <w:rFonts w:hint="eastAsia" w:ascii="宋体" w:hAnsi="宋体" w:cs="宋体"/>
          <w:bCs/>
          <w:color w:val="auto"/>
          <w:kern w:val="0"/>
          <w:sz w:val="21"/>
          <w:szCs w:val="20"/>
          <w:highlight w:val="none"/>
          <w:lang w:val="en-US" w:eastAsia="zh-CN" w:bidi="ar-SA"/>
        </w:rPr>
        <w:t>评标价</w:t>
      </w:r>
      <w:r>
        <w:rPr>
          <w:rFonts w:hint="eastAsia" w:ascii="宋体" w:hAnsi="宋体" w:eastAsia="宋体" w:cs="宋体"/>
          <w:bCs/>
          <w:color w:val="auto"/>
          <w:kern w:val="0"/>
          <w:sz w:val="21"/>
          <w:szCs w:val="20"/>
          <w:highlight w:val="none"/>
          <w:lang w:val="en-US" w:eastAsia="zh-CN" w:bidi="ar-SA"/>
        </w:rPr>
        <w:t>为10分。</w:t>
      </w:r>
    </w:p>
    <w:p w14:paraId="70AC6FAF">
      <w:pPr>
        <w:keepNext w:val="0"/>
        <w:keepLines w:val="0"/>
        <w:pageBreakBefore w:val="0"/>
        <w:widowControl w:val="0"/>
        <w:shd w:val="clear"/>
        <w:tabs>
          <w:tab w:val="right" w:leader="dot" w:pos="9185"/>
        </w:tabs>
        <w:kinsoku/>
        <w:wordWrap/>
        <w:overflowPunct/>
        <w:topLinePunct w:val="0"/>
        <w:autoSpaceDE/>
        <w:autoSpaceDN/>
        <w:bidi w:val="0"/>
        <w:adjustRightInd/>
        <w:snapToGrid/>
        <w:spacing w:line="400" w:lineRule="exact"/>
        <w:ind w:left="0" w:firstLine="420" w:firstLineChars="200"/>
        <w:jc w:val="both"/>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auto"/>
          <w:kern w:val="0"/>
          <w:sz w:val="21"/>
          <w:szCs w:val="20"/>
          <w:highlight w:val="none"/>
          <w:lang w:val="en-US" w:eastAsia="zh-CN" w:bidi="ar-SA"/>
        </w:rPr>
        <w:t>（</w:t>
      </w:r>
      <w:r>
        <w:rPr>
          <w:rFonts w:hint="eastAsia" w:ascii="宋体" w:hAnsi="宋体" w:cs="宋体"/>
          <w:bCs/>
          <w:color w:val="auto"/>
          <w:kern w:val="0"/>
          <w:sz w:val="21"/>
          <w:szCs w:val="20"/>
          <w:highlight w:val="none"/>
          <w:lang w:val="en-US" w:eastAsia="zh-CN" w:bidi="ar-SA"/>
        </w:rPr>
        <w:t>3</w:t>
      </w:r>
      <w:r>
        <w:rPr>
          <w:rFonts w:hint="eastAsia" w:ascii="宋体" w:hAnsi="宋体" w:eastAsia="宋体" w:cs="宋体"/>
          <w:bCs/>
          <w:color w:val="auto"/>
          <w:kern w:val="0"/>
          <w:sz w:val="21"/>
          <w:szCs w:val="20"/>
          <w:highlight w:val="none"/>
          <w:lang w:val="en-US" w:eastAsia="zh-CN" w:bidi="ar-SA"/>
        </w:rPr>
        <w:t>）某供应商价格分 = （1-供应商最高的</w:t>
      </w:r>
      <w:r>
        <w:rPr>
          <w:rFonts w:hint="eastAsia" w:ascii="宋体" w:hAnsi="宋体" w:cs="宋体"/>
          <w:bCs/>
          <w:color w:val="auto"/>
          <w:kern w:val="0"/>
          <w:sz w:val="21"/>
          <w:szCs w:val="20"/>
          <w:highlight w:val="none"/>
          <w:lang w:val="en-US" w:eastAsia="zh-CN" w:bidi="ar-SA"/>
        </w:rPr>
        <w:t>评标价</w:t>
      </w:r>
      <w:r>
        <w:rPr>
          <w:rFonts w:hint="eastAsia" w:ascii="宋体" w:hAnsi="宋体" w:eastAsia="宋体" w:cs="宋体"/>
          <w:bCs/>
          <w:color w:val="auto"/>
          <w:kern w:val="0"/>
          <w:sz w:val="21"/>
          <w:szCs w:val="20"/>
          <w:highlight w:val="none"/>
          <w:lang w:val="en-US" w:eastAsia="zh-CN" w:bidi="ar-SA"/>
        </w:rPr>
        <w:t>）/（1-某供应商的</w:t>
      </w:r>
      <w:r>
        <w:rPr>
          <w:rFonts w:hint="eastAsia" w:ascii="宋体" w:hAnsi="宋体" w:cs="宋体"/>
          <w:bCs/>
          <w:color w:val="auto"/>
          <w:kern w:val="0"/>
          <w:sz w:val="21"/>
          <w:szCs w:val="20"/>
          <w:highlight w:val="none"/>
          <w:lang w:val="en-US" w:eastAsia="zh-CN" w:bidi="ar-SA"/>
        </w:rPr>
        <w:t>评标价</w:t>
      </w:r>
      <w:r>
        <w:rPr>
          <w:rFonts w:hint="eastAsia" w:ascii="宋体" w:hAnsi="宋体" w:eastAsia="宋体" w:cs="宋体"/>
          <w:bCs/>
          <w:color w:val="auto"/>
          <w:kern w:val="0"/>
          <w:sz w:val="21"/>
          <w:szCs w:val="20"/>
          <w:highlight w:val="none"/>
          <w:lang w:val="en-US" w:eastAsia="zh-CN" w:bidi="ar-SA"/>
        </w:rPr>
        <w:t>）×10分</w:t>
      </w:r>
    </w:p>
    <w:p w14:paraId="0930B5D2">
      <w:pPr>
        <w:keepNext w:val="0"/>
        <w:keepLines w:val="0"/>
        <w:pageBreakBefore w:val="0"/>
        <w:widowControl w:val="0"/>
        <w:shd w:val="clear"/>
        <w:tabs>
          <w:tab w:val="right" w:leader="dot" w:pos="9185"/>
        </w:tabs>
        <w:kinsoku/>
        <w:wordWrap/>
        <w:overflowPunct/>
        <w:topLinePunct w:val="0"/>
        <w:autoSpaceDE/>
        <w:autoSpaceDN/>
        <w:bidi w:val="0"/>
        <w:adjustRightInd/>
        <w:snapToGrid/>
        <w:spacing w:line="400" w:lineRule="exact"/>
        <w:ind w:left="0" w:leftChars="0" w:firstLine="0" w:firstLineChars="0"/>
        <w:jc w:val="both"/>
        <w:textAlignment w:val="baseline"/>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2、技术分………………………………………………………………………………………………………70分</w:t>
      </w:r>
    </w:p>
    <w:p w14:paraId="4EBE7C01">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（1）项目服务方案（满分30分）</w:t>
      </w:r>
    </w:p>
    <w:p w14:paraId="0563EB73">
      <w:pPr>
        <w:keepNext w:val="0"/>
        <w:keepLines w:val="0"/>
        <w:pageBreakBefore w:val="0"/>
        <w:widowControl w:val="0"/>
        <w:shd w:val="clear"/>
        <w:tabs>
          <w:tab w:val="right" w:leader="dot" w:pos="9185"/>
        </w:tabs>
        <w:kinsoku/>
        <w:wordWrap/>
        <w:overflowPunct/>
        <w:topLinePunct w:val="0"/>
        <w:autoSpaceDE/>
        <w:autoSpaceDN/>
        <w:bidi w:val="0"/>
        <w:adjustRightInd/>
        <w:snapToGrid/>
        <w:spacing w:line="400" w:lineRule="exact"/>
        <w:ind w:left="0" w:firstLine="420" w:firstLineChars="200"/>
        <w:jc w:val="both"/>
        <w:textAlignment w:val="baseline"/>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一档（7分）：有工作思路、拟投入人员安排，服务目标、服务内容，对服务范围内各项工作有重点环节（工序）咨询方案，有简单的内部管理机制、服务措施。</w:t>
      </w:r>
    </w:p>
    <w:p w14:paraId="77820C2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二档（14分）：具有一定的工作思路、拟投入人员安排，服务目标、服务内容明确，对服务范围内各项工作均有可行的重点环节（工序）咨询方案，有一般的内部管理机制、服务措施。</w:t>
      </w:r>
    </w:p>
    <w:p w14:paraId="698E6FB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三档（22分）：具有针对性的工作思路、拟投入人员安排，服务目标、咨询服务内容较明确，对服务范围内各项工作均有科学、可行的重点环节（工序）咨询方案，有完善的内部管理机制、服务措施。</w:t>
      </w:r>
    </w:p>
    <w:p w14:paraId="1D74423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四档（30分）：具有较高针对性的工作思路、拟投入人员安排，咨询目标、咨询服务内容很明确，对服务范围内各项工作均有完善、科学、可行的重点环节（工序）咨询方案，有很完善的内部管理机制、服务措施。</w:t>
      </w:r>
    </w:p>
    <w:p w14:paraId="7EED6397">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（2）质量保证方案（满分20分）</w:t>
      </w:r>
    </w:p>
    <w:p w14:paraId="1325EB2C">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一档（6分）：有基本的质量管理制度，质量保证方案简单、基本合理。</w:t>
      </w:r>
    </w:p>
    <w:p w14:paraId="45C1132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二档（13分）：质量管理制度完整详细，有企业质量管理机构，质量保证措施、方案较详细、合理、可行。</w:t>
      </w:r>
    </w:p>
    <w:p w14:paraId="424DF4F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三档（20分）：质量管理制度完整详细，有企业质量管理机构及质量保证体系运作方案，质量保证措施、方案完整详细、科学合理、可行性高。</w:t>
      </w:r>
    </w:p>
    <w:p w14:paraId="3FE1BB3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（3）进度控制方案（满分20分）</w:t>
      </w:r>
    </w:p>
    <w:p w14:paraId="2954FA5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default" w:ascii="宋体" w:hAnsi="宋体" w:eastAsia="宋体" w:cs="宋体"/>
          <w:b w:val="0"/>
          <w:bCs/>
          <w:color w:val="auto"/>
          <w:kern w:val="0"/>
          <w:sz w:val="21"/>
          <w:szCs w:val="21"/>
          <w:highlight w:val="none"/>
          <w:lang w:val="en-US" w:eastAsia="zh-CN" w:bidi="ar-SA"/>
        </w:rPr>
        <w:t>一档（</w:t>
      </w:r>
      <w:r>
        <w:rPr>
          <w:rFonts w:hint="eastAsia" w:ascii="宋体" w:hAnsi="宋体" w:eastAsia="宋体" w:cs="宋体"/>
          <w:b w:val="0"/>
          <w:bCs/>
          <w:color w:val="auto"/>
          <w:kern w:val="0"/>
          <w:sz w:val="21"/>
          <w:szCs w:val="21"/>
          <w:highlight w:val="none"/>
          <w:lang w:val="en-US" w:eastAsia="zh-CN" w:bidi="ar-SA"/>
        </w:rPr>
        <w:t>6</w:t>
      </w:r>
      <w:r>
        <w:rPr>
          <w:rFonts w:hint="default" w:ascii="宋体" w:hAnsi="宋体" w:eastAsia="宋体" w:cs="宋体"/>
          <w:b w:val="0"/>
          <w:bCs/>
          <w:color w:val="auto"/>
          <w:kern w:val="0"/>
          <w:sz w:val="21"/>
          <w:szCs w:val="21"/>
          <w:highlight w:val="none"/>
          <w:lang w:val="en-US" w:eastAsia="zh-CN" w:bidi="ar-SA"/>
        </w:rPr>
        <w:t>分）：响应</w:t>
      </w:r>
      <w:r>
        <w:rPr>
          <w:rFonts w:hint="eastAsia" w:ascii="宋体" w:hAnsi="宋体" w:cs="宋体"/>
          <w:b w:val="0"/>
          <w:bCs/>
          <w:color w:val="auto"/>
          <w:kern w:val="0"/>
          <w:sz w:val="21"/>
          <w:szCs w:val="21"/>
          <w:highlight w:val="none"/>
          <w:lang w:val="en-US" w:eastAsia="zh-CN" w:bidi="ar-SA"/>
        </w:rPr>
        <w:t>采购</w:t>
      </w:r>
      <w:r>
        <w:rPr>
          <w:rFonts w:hint="default" w:ascii="宋体" w:hAnsi="宋体" w:eastAsia="宋体" w:cs="宋体"/>
          <w:b w:val="0"/>
          <w:bCs/>
          <w:color w:val="auto"/>
          <w:kern w:val="0"/>
          <w:sz w:val="21"/>
          <w:szCs w:val="21"/>
          <w:highlight w:val="none"/>
          <w:lang w:val="en-US" w:eastAsia="zh-CN" w:bidi="ar-SA"/>
        </w:rPr>
        <w:t>人要求到达工作现场的时间承诺及满足服务要求的工作计划安排、服务质量、</w:t>
      </w:r>
      <w:r>
        <w:rPr>
          <w:rFonts w:hint="eastAsia" w:ascii="宋体" w:hAnsi="宋体" w:eastAsia="宋体" w:cs="宋体"/>
          <w:b w:val="0"/>
          <w:bCs/>
          <w:color w:val="auto"/>
          <w:kern w:val="0"/>
          <w:sz w:val="21"/>
          <w:szCs w:val="21"/>
          <w:highlight w:val="none"/>
          <w:lang w:val="en-US" w:eastAsia="zh-CN" w:bidi="ar-SA"/>
        </w:rPr>
        <w:t>提交成果时间</w:t>
      </w:r>
      <w:r>
        <w:rPr>
          <w:rFonts w:hint="default" w:ascii="宋体" w:hAnsi="宋体" w:eastAsia="宋体" w:cs="宋体"/>
          <w:b w:val="0"/>
          <w:bCs/>
          <w:color w:val="auto"/>
          <w:kern w:val="0"/>
          <w:sz w:val="21"/>
          <w:szCs w:val="21"/>
          <w:highlight w:val="none"/>
          <w:lang w:val="en-US" w:eastAsia="zh-CN" w:bidi="ar-SA"/>
        </w:rPr>
        <w:t>承诺等承诺基本满足</w:t>
      </w:r>
      <w:r>
        <w:rPr>
          <w:rFonts w:hint="eastAsia" w:ascii="宋体" w:hAnsi="宋体" w:cs="宋体"/>
          <w:b w:val="0"/>
          <w:bCs/>
          <w:color w:val="auto"/>
          <w:kern w:val="0"/>
          <w:sz w:val="21"/>
          <w:szCs w:val="21"/>
          <w:highlight w:val="none"/>
          <w:lang w:val="en-US" w:eastAsia="zh-CN" w:bidi="ar-SA"/>
        </w:rPr>
        <w:t>磋商</w:t>
      </w:r>
      <w:r>
        <w:rPr>
          <w:rFonts w:hint="default" w:ascii="宋体" w:hAnsi="宋体" w:eastAsia="宋体" w:cs="宋体"/>
          <w:b w:val="0"/>
          <w:bCs/>
          <w:color w:val="auto"/>
          <w:kern w:val="0"/>
          <w:sz w:val="21"/>
          <w:szCs w:val="21"/>
          <w:highlight w:val="none"/>
          <w:lang w:val="en-US" w:eastAsia="zh-CN" w:bidi="ar-SA"/>
        </w:rPr>
        <w:t xml:space="preserve">文件要求； </w:t>
      </w:r>
    </w:p>
    <w:p w14:paraId="17558D20">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default" w:ascii="宋体" w:hAnsi="宋体" w:eastAsia="宋体" w:cs="宋体"/>
          <w:b w:val="0"/>
          <w:bCs/>
          <w:color w:val="auto"/>
          <w:kern w:val="0"/>
          <w:sz w:val="21"/>
          <w:szCs w:val="21"/>
          <w:highlight w:val="none"/>
          <w:lang w:val="en-US" w:eastAsia="zh-CN" w:bidi="ar-SA"/>
        </w:rPr>
        <w:t>二档（</w:t>
      </w:r>
      <w:r>
        <w:rPr>
          <w:rFonts w:hint="eastAsia" w:ascii="宋体" w:hAnsi="宋体" w:eastAsia="宋体" w:cs="宋体"/>
          <w:b w:val="0"/>
          <w:bCs/>
          <w:color w:val="auto"/>
          <w:kern w:val="0"/>
          <w:sz w:val="21"/>
          <w:szCs w:val="21"/>
          <w:highlight w:val="none"/>
          <w:lang w:val="en-US" w:eastAsia="zh-CN" w:bidi="ar-SA"/>
        </w:rPr>
        <w:t>13</w:t>
      </w:r>
      <w:r>
        <w:rPr>
          <w:rFonts w:hint="default" w:ascii="宋体" w:hAnsi="宋体" w:eastAsia="宋体" w:cs="宋体"/>
          <w:b w:val="0"/>
          <w:bCs/>
          <w:color w:val="auto"/>
          <w:kern w:val="0"/>
          <w:sz w:val="21"/>
          <w:szCs w:val="21"/>
          <w:highlight w:val="none"/>
          <w:lang w:val="en-US" w:eastAsia="zh-CN" w:bidi="ar-SA"/>
        </w:rPr>
        <w:t>分）：响应</w:t>
      </w:r>
      <w:r>
        <w:rPr>
          <w:rFonts w:hint="eastAsia" w:ascii="宋体" w:hAnsi="宋体" w:cs="宋体"/>
          <w:b w:val="0"/>
          <w:bCs/>
          <w:color w:val="auto"/>
          <w:kern w:val="0"/>
          <w:sz w:val="21"/>
          <w:szCs w:val="21"/>
          <w:highlight w:val="none"/>
          <w:lang w:val="en-US" w:eastAsia="zh-CN" w:bidi="ar-SA"/>
        </w:rPr>
        <w:t>采购</w:t>
      </w:r>
      <w:r>
        <w:rPr>
          <w:rFonts w:hint="default" w:ascii="宋体" w:hAnsi="宋体" w:eastAsia="宋体" w:cs="宋体"/>
          <w:b w:val="0"/>
          <w:bCs/>
          <w:color w:val="auto"/>
          <w:kern w:val="0"/>
          <w:sz w:val="21"/>
          <w:szCs w:val="21"/>
          <w:highlight w:val="none"/>
          <w:lang w:val="en-US" w:eastAsia="zh-CN" w:bidi="ar-SA"/>
        </w:rPr>
        <w:t xml:space="preserve">人要求到达工作现场的时间承诺及满足服务要求的工作计划安排描述较具体详实、服务质量、提交成果时间承诺等承诺良好，措施可行，有具体的计划； </w:t>
      </w:r>
    </w:p>
    <w:p w14:paraId="523E4D14">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default" w:ascii="宋体" w:hAnsi="宋体" w:eastAsia="宋体" w:cs="宋体"/>
          <w:b w:val="0"/>
          <w:bCs/>
          <w:color w:val="auto"/>
          <w:kern w:val="0"/>
          <w:sz w:val="21"/>
          <w:szCs w:val="21"/>
          <w:highlight w:val="none"/>
          <w:lang w:val="en-US" w:eastAsia="zh-CN" w:bidi="ar-SA"/>
        </w:rPr>
        <w:t>三档（</w:t>
      </w:r>
      <w:r>
        <w:rPr>
          <w:rFonts w:hint="eastAsia" w:ascii="宋体" w:hAnsi="宋体" w:eastAsia="宋体" w:cs="宋体"/>
          <w:b w:val="0"/>
          <w:bCs/>
          <w:color w:val="auto"/>
          <w:kern w:val="0"/>
          <w:sz w:val="21"/>
          <w:szCs w:val="21"/>
          <w:highlight w:val="none"/>
          <w:lang w:val="en-US" w:eastAsia="zh-CN" w:bidi="ar-SA"/>
        </w:rPr>
        <w:t>20</w:t>
      </w:r>
      <w:r>
        <w:rPr>
          <w:rFonts w:hint="default" w:ascii="宋体" w:hAnsi="宋体" w:eastAsia="宋体" w:cs="宋体"/>
          <w:b w:val="0"/>
          <w:bCs/>
          <w:color w:val="auto"/>
          <w:kern w:val="0"/>
          <w:sz w:val="21"/>
          <w:szCs w:val="21"/>
          <w:highlight w:val="none"/>
          <w:lang w:val="en-US" w:eastAsia="zh-CN" w:bidi="ar-SA"/>
        </w:rPr>
        <w:t>分）：响应</w:t>
      </w:r>
      <w:r>
        <w:rPr>
          <w:rFonts w:hint="eastAsia" w:ascii="宋体" w:hAnsi="宋体" w:cs="宋体"/>
          <w:b w:val="0"/>
          <w:bCs/>
          <w:color w:val="auto"/>
          <w:kern w:val="0"/>
          <w:sz w:val="21"/>
          <w:szCs w:val="21"/>
          <w:highlight w:val="none"/>
          <w:lang w:val="en-US" w:eastAsia="zh-CN" w:bidi="ar-SA"/>
        </w:rPr>
        <w:t>采购</w:t>
      </w:r>
      <w:r>
        <w:rPr>
          <w:rFonts w:hint="default" w:ascii="宋体" w:hAnsi="宋体" w:eastAsia="宋体" w:cs="宋体"/>
          <w:b w:val="0"/>
          <w:bCs/>
          <w:color w:val="auto"/>
          <w:kern w:val="0"/>
          <w:sz w:val="21"/>
          <w:szCs w:val="21"/>
          <w:highlight w:val="none"/>
          <w:lang w:val="en-US" w:eastAsia="zh-CN" w:bidi="ar-SA"/>
        </w:rPr>
        <w:t>人要求到达工作现场的时间承诺及满足服务要求的工作计划安排、服务质量、提交成果时间承诺等承诺优秀，措施完善、可行，有详细具体的计划，具有应急处理预案，能满足</w:t>
      </w:r>
      <w:r>
        <w:rPr>
          <w:rFonts w:hint="eastAsia" w:ascii="宋体" w:hAnsi="宋体" w:eastAsia="宋体" w:cs="宋体"/>
          <w:b w:val="0"/>
          <w:bCs/>
          <w:color w:val="auto"/>
          <w:kern w:val="0"/>
          <w:sz w:val="21"/>
          <w:szCs w:val="21"/>
          <w:highlight w:val="none"/>
          <w:lang w:val="en-US" w:eastAsia="zh-CN" w:bidi="ar-SA"/>
        </w:rPr>
        <w:t>采购人</w:t>
      </w:r>
      <w:r>
        <w:rPr>
          <w:rFonts w:hint="default" w:ascii="宋体" w:hAnsi="宋体" w:eastAsia="宋体" w:cs="宋体"/>
          <w:b w:val="0"/>
          <w:bCs/>
          <w:color w:val="auto"/>
          <w:kern w:val="0"/>
          <w:sz w:val="21"/>
          <w:szCs w:val="21"/>
          <w:highlight w:val="none"/>
          <w:lang w:val="en-US" w:eastAsia="zh-CN" w:bidi="ar-SA"/>
        </w:rPr>
        <w:t>紧急需求。</w:t>
      </w:r>
    </w:p>
    <w:p w14:paraId="7AA28645">
      <w:pPr>
        <w:keepNext w:val="0"/>
        <w:keepLines w:val="0"/>
        <w:pageBreakBefore w:val="0"/>
        <w:widowControl w:val="0"/>
        <w:shd w:val="clear"/>
        <w:kinsoku/>
        <w:wordWrap/>
        <w:overflowPunct/>
        <w:topLinePunct w:val="0"/>
        <w:autoSpaceDE/>
        <w:autoSpaceDN/>
        <w:bidi w:val="0"/>
        <w:adjustRightInd/>
        <w:snapToGrid/>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商务分</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rPr>
        <w:t>分</w:t>
      </w:r>
    </w:p>
    <w:p w14:paraId="013EAC7B">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（1）项目配备人员（满分7分）</w:t>
      </w:r>
    </w:p>
    <w:p w14:paraId="70186F1F">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1</w:t>
      </w:r>
      <w:r>
        <w:rPr>
          <w:rFonts w:hint="default" w:ascii="宋体" w:hAnsi="宋体" w:eastAsia="宋体" w:cs="宋体"/>
          <w:b w:val="0"/>
          <w:bCs/>
          <w:color w:val="auto"/>
          <w:kern w:val="0"/>
          <w:sz w:val="21"/>
          <w:szCs w:val="21"/>
          <w:highlight w:val="none"/>
          <w:lang w:val="en-US" w:eastAsia="zh-CN" w:bidi="ar-SA"/>
        </w:rPr>
        <w:t>）除项目负责人外，拟投入人员中持有一级注册造价工程师</w:t>
      </w:r>
      <w:r>
        <w:rPr>
          <w:rFonts w:hint="eastAsia" w:ascii="宋体" w:hAnsi="宋体" w:eastAsia="宋体" w:cs="宋体"/>
          <w:b w:val="0"/>
          <w:bCs/>
          <w:color w:val="auto"/>
          <w:kern w:val="0"/>
          <w:sz w:val="21"/>
          <w:szCs w:val="21"/>
          <w:highlight w:val="none"/>
          <w:lang w:val="en-US" w:eastAsia="zh-CN" w:bidi="ar-SA"/>
        </w:rPr>
        <w:t>证书</w:t>
      </w:r>
      <w:r>
        <w:rPr>
          <w:rFonts w:hint="eastAsia" w:ascii="宋体" w:hAnsi="宋体" w:cs="宋体"/>
          <w:b w:val="0"/>
          <w:bCs/>
          <w:color w:val="auto"/>
          <w:kern w:val="0"/>
          <w:sz w:val="21"/>
          <w:szCs w:val="21"/>
          <w:highlight w:val="none"/>
          <w:lang w:val="en-US" w:eastAsia="zh-CN" w:bidi="ar-SA"/>
        </w:rPr>
        <w:t>（土木建筑工程或安装工程注册专业）</w:t>
      </w:r>
      <w:r>
        <w:rPr>
          <w:rFonts w:hint="default" w:ascii="宋体" w:hAnsi="宋体" w:eastAsia="宋体" w:cs="宋体"/>
          <w:b w:val="0"/>
          <w:bCs/>
          <w:color w:val="auto"/>
          <w:kern w:val="0"/>
          <w:sz w:val="21"/>
          <w:szCs w:val="21"/>
          <w:highlight w:val="none"/>
          <w:lang w:val="en-US" w:eastAsia="zh-CN" w:bidi="ar-SA"/>
        </w:rPr>
        <w:t>的，每有1人得</w:t>
      </w:r>
      <w:r>
        <w:rPr>
          <w:rFonts w:hint="eastAsia" w:ascii="宋体" w:hAnsi="宋体" w:eastAsia="宋体" w:cs="宋体"/>
          <w:b w:val="0"/>
          <w:bCs/>
          <w:color w:val="auto"/>
          <w:kern w:val="0"/>
          <w:sz w:val="21"/>
          <w:szCs w:val="21"/>
          <w:highlight w:val="none"/>
          <w:lang w:val="en-US" w:eastAsia="zh-CN" w:bidi="ar-SA"/>
        </w:rPr>
        <w:t>2</w:t>
      </w:r>
      <w:r>
        <w:rPr>
          <w:rFonts w:hint="default" w:ascii="宋体" w:hAnsi="宋体" w:eastAsia="宋体" w:cs="宋体"/>
          <w:b w:val="0"/>
          <w:bCs/>
          <w:color w:val="auto"/>
          <w:kern w:val="0"/>
          <w:sz w:val="21"/>
          <w:szCs w:val="21"/>
          <w:highlight w:val="none"/>
          <w:lang w:val="en-US" w:eastAsia="zh-CN" w:bidi="ar-SA"/>
        </w:rPr>
        <w:t>分，持有二级注册造价工程师</w:t>
      </w:r>
      <w:r>
        <w:rPr>
          <w:rFonts w:hint="eastAsia" w:ascii="宋体" w:hAnsi="宋体" w:eastAsia="宋体" w:cs="宋体"/>
          <w:b w:val="0"/>
          <w:bCs/>
          <w:color w:val="auto"/>
          <w:kern w:val="0"/>
          <w:sz w:val="21"/>
          <w:szCs w:val="21"/>
          <w:highlight w:val="none"/>
          <w:lang w:val="en-US" w:eastAsia="zh-CN" w:bidi="ar-SA"/>
        </w:rPr>
        <w:t>证书</w:t>
      </w:r>
      <w:r>
        <w:rPr>
          <w:rFonts w:hint="eastAsia" w:ascii="宋体" w:hAnsi="宋体" w:cs="宋体"/>
          <w:b w:val="0"/>
          <w:bCs/>
          <w:color w:val="auto"/>
          <w:kern w:val="0"/>
          <w:sz w:val="21"/>
          <w:szCs w:val="21"/>
          <w:highlight w:val="none"/>
          <w:lang w:val="en-US" w:eastAsia="zh-CN" w:bidi="ar-SA"/>
        </w:rPr>
        <w:t>（土木建筑工程或安装工程注册专业）</w:t>
      </w:r>
      <w:r>
        <w:rPr>
          <w:rFonts w:hint="default" w:ascii="宋体" w:hAnsi="宋体" w:eastAsia="宋体" w:cs="宋体"/>
          <w:b w:val="0"/>
          <w:bCs/>
          <w:color w:val="auto"/>
          <w:kern w:val="0"/>
          <w:sz w:val="21"/>
          <w:szCs w:val="21"/>
          <w:highlight w:val="none"/>
          <w:lang w:val="en-US" w:eastAsia="zh-CN" w:bidi="ar-SA"/>
        </w:rPr>
        <w:t>的，每有1人得</w:t>
      </w:r>
      <w:r>
        <w:rPr>
          <w:rFonts w:hint="eastAsia" w:ascii="宋体" w:hAnsi="宋体" w:eastAsia="宋体" w:cs="宋体"/>
          <w:b w:val="0"/>
          <w:bCs/>
          <w:color w:val="auto"/>
          <w:kern w:val="0"/>
          <w:sz w:val="21"/>
          <w:szCs w:val="21"/>
          <w:highlight w:val="none"/>
          <w:lang w:val="en-US" w:eastAsia="zh-CN" w:bidi="ar-SA"/>
        </w:rPr>
        <w:t>1</w:t>
      </w:r>
      <w:r>
        <w:rPr>
          <w:rFonts w:hint="default" w:ascii="宋体" w:hAnsi="宋体" w:eastAsia="宋体" w:cs="宋体"/>
          <w:b w:val="0"/>
          <w:bCs/>
          <w:color w:val="auto"/>
          <w:kern w:val="0"/>
          <w:sz w:val="21"/>
          <w:szCs w:val="21"/>
          <w:highlight w:val="none"/>
          <w:lang w:val="en-US" w:eastAsia="zh-CN" w:bidi="ar-SA"/>
        </w:rPr>
        <w:t>分。此项满分</w:t>
      </w:r>
      <w:r>
        <w:rPr>
          <w:rFonts w:hint="eastAsia" w:ascii="宋体" w:hAnsi="宋体" w:eastAsia="宋体" w:cs="宋体"/>
          <w:b w:val="0"/>
          <w:bCs/>
          <w:color w:val="auto"/>
          <w:kern w:val="0"/>
          <w:sz w:val="21"/>
          <w:szCs w:val="21"/>
          <w:highlight w:val="none"/>
          <w:lang w:val="en-US" w:eastAsia="zh-CN" w:bidi="ar-SA"/>
        </w:rPr>
        <w:t>4</w:t>
      </w:r>
      <w:r>
        <w:rPr>
          <w:rFonts w:hint="default" w:ascii="宋体" w:hAnsi="宋体" w:eastAsia="宋体" w:cs="宋体"/>
          <w:b w:val="0"/>
          <w:bCs/>
          <w:color w:val="auto"/>
          <w:kern w:val="0"/>
          <w:sz w:val="21"/>
          <w:szCs w:val="21"/>
          <w:highlight w:val="none"/>
          <w:lang w:val="en-US" w:eastAsia="zh-CN" w:bidi="ar-SA"/>
        </w:rPr>
        <w:t>分</w:t>
      </w:r>
      <w:r>
        <w:rPr>
          <w:rFonts w:hint="eastAsia" w:ascii="宋体" w:hAnsi="宋体" w:cs="宋体"/>
          <w:b w:val="0"/>
          <w:bCs/>
          <w:color w:val="auto"/>
          <w:kern w:val="0"/>
          <w:sz w:val="21"/>
          <w:szCs w:val="21"/>
          <w:highlight w:val="none"/>
          <w:lang w:val="en-US" w:eastAsia="zh-CN" w:bidi="ar-SA"/>
        </w:rPr>
        <w:t>，同一人不重复记分，同时持有一级和二级造价工程师证书的按一级造价工程师记分，同时持有多个同级别不同专业证书的只按一个专业记分</w:t>
      </w:r>
      <w:r>
        <w:rPr>
          <w:rFonts w:hint="default" w:ascii="宋体" w:hAnsi="宋体" w:eastAsia="宋体" w:cs="宋体"/>
          <w:b w:val="0"/>
          <w:bCs/>
          <w:color w:val="auto"/>
          <w:kern w:val="0"/>
          <w:sz w:val="21"/>
          <w:szCs w:val="21"/>
          <w:highlight w:val="none"/>
          <w:lang w:val="en-US" w:eastAsia="zh-CN" w:bidi="ar-SA"/>
        </w:rPr>
        <w:t>。</w:t>
      </w:r>
    </w:p>
    <w:p w14:paraId="029249E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w:t>
      </w:r>
      <w:r>
        <w:rPr>
          <w:rFonts w:hint="default" w:ascii="宋体" w:hAnsi="宋体" w:eastAsia="宋体" w:cs="宋体"/>
          <w:b w:val="0"/>
          <w:bCs/>
          <w:color w:val="auto"/>
          <w:kern w:val="0"/>
          <w:sz w:val="21"/>
          <w:szCs w:val="21"/>
          <w:highlight w:val="none"/>
          <w:lang w:val="en-US" w:eastAsia="zh-CN" w:bidi="ar-SA"/>
        </w:rPr>
        <w:t>）拟投入人员中具有高级及以上工程师职称的每人得1分，具有工程师职称的每人得0.5分，此项满分3分。</w:t>
      </w:r>
    </w:p>
    <w:p w14:paraId="60D36EB2">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default" w:ascii="宋体" w:hAnsi="宋体" w:eastAsia="宋体" w:cs="宋体"/>
          <w:b w:val="0"/>
          <w:bCs/>
          <w:color w:val="auto"/>
          <w:kern w:val="0"/>
          <w:sz w:val="21"/>
          <w:szCs w:val="21"/>
          <w:highlight w:val="none"/>
          <w:lang w:val="en-US" w:eastAsia="zh-CN" w:bidi="ar-SA"/>
        </w:rPr>
      </w:pPr>
      <w:r>
        <w:rPr>
          <w:rFonts w:hint="default" w:ascii="宋体" w:hAnsi="宋体" w:eastAsia="宋体" w:cs="宋体"/>
          <w:b w:val="0"/>
          <w:bCs/>
          <w:color w:val="auto"/>
          <w:kern w:val="0"/>
          <w:sz w:val="21"/>
          <w:szCs w:val="21"/>
          <w:highlight w:val="none"/>
          <w:lang w:val="en-US" w:eastAsia="zh-CN" w:bidi="ar-SA"/>
        </w:rPr>
        <w:t>注:响应文件中提供</w:t>
      </w:r>
      <w:r>
        <w:rPr>
          <w:rFonts w:hint="eastAsia" w:ascii="宋体" w:hAnsi="宋体" w:cs="宋体"/>
          <w:b w:val="0"/>
          <w:bCs/>
          <w:color w:val="auto"/>
          <w:kern w:val="0"/>
          <w:sz w:val="21"/>
          <w:szCs w:val="21"/>
          <w:highlight w:val="none"/>
          <w:lang w:val="en-US" w:eastAsia="zh-CN" w:bidi="ar-SA"/>
        </w:rPr>
        <w:t>有效</w:t>
      </w:r>
      <w:r>
        <w:rPr>
          <w:rFonts w:hint="default" w:ascii="宋体" w:hAnsi="宋体" w:eastAsia="宋体" w:cs="宋体"/>
          <w:b w:val="0"/>
          <w:bCs/>
          <w:color w:val="auto"/>
          <w:kern w:val="0"/>
          <w:sz w:val="21"/>
          <w:szCs w:val="21"/>
          <w:highlight w:val="none"/>
          <w:lang w:val="en-US" w:eastAsia="zh-CN" w:bidi="ar-SA"/>
        </w:rPr>
        <w:t>身份证复印件、有效的</w:t>
      </w:r>
      <w:r>
        <w:rPr>
          <w:rFonts w:hint="eastAsia" w:ascii="宋体" w:hAnsi="宋体" w:eastAsia="宋体" w:cs="宋体"/>
          <w:b w:val="0"/>
          <w:bCs/>
          <w:color w:val="auto"/>
          <w:kern w:val="0"/>
          <w:sz w:val="21"/>
          <w:szCs w:val="21"/>
          <w:highlight w:val="none"/>
          <w:lang w:val="en-US" w:eastAsia="zh-CN" w:bidi="ar-SA"/>
        </w:rPr>
        <w:t>证书</w:t>
      </w:r>
      <w:r>
        <w:rPr>
          <w:rFonts w:hint="default" w:ascii="宋体" w:hAnsi="宋体" w:eastAsia="宋体" w:cs="宋体"/>
          <w:b w:val="0"/>
          <w:bCs/>
          <w:color w:val="auto"/>
          <w:kern w:val="0"/>
          <w:sz w:val="21"/>
          <w:szCs w:val="21"/>
          <w:highlight w:val="none"/>
          <w:lang w:val="en-US" w:eastAsia="zh-CN" w:bidi="ar-SA"/>
        </w:rPr>
        <w:t>、职称证复印件，近1个月（2025年6月至投标截止时间止任意一个月）在现任职单位依法缴纳社会保险证明材料的复印件</w:t>
      </w:r>
      <w:r>
        <w:rPr>
          <w:rFonts w:hint="eastAsia" w:ascii="宋体" w:hAnsi="宋体" w:eastAsia="宋体" w:cs="宋体"/>
          <w:b w:val="0"/>
          <w:bCs/>
          <w:color w:val="auto"/>
          <w:kern w:val="0"/>
          <w:sz w:val="21"/>
          <w:szCs w:val="21"/>
          <w:highlight w:val="none"/>
          <w:lang w:val="en-US" w:eastAsia="zh-CN" w:bidi="ar-SA"/>
        </w:rPr>
        <w:t>（如有退休返聘的人员，必须提供该人员与供应商签订的返聘合同及退休证明）</w:t>
      </w:r>
    </w:p>
    <w:p w14:paraId="31043086">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（2）供应商具备ISO质量管理体系认证证书且在有效期内的得3分，此项满分3分。</w:t>
      </w:r>
    </w:p>
    <w:p w14:paraId="715D9CA9">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（3）供应商自2022年12月1日以来，承接过类似全过程跟踪审计服务项目的，每个项目得2分，满分10分，须在响应文件中提供合同或中标（成交）通知书，未提供不得分。</w:t>
      </w:r>
    </w:p>
    <w:p w14:paraId="156CB1B3">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jc w:val="both"/>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注：以上证明材料均须加盖投标人公章，否则不予计分。</w:t>
      </w:r>
    </w:p>
    <w:p w14:paraId="140A19BA">
      <w:pPr>
        <w:keepNext w:val="0"/>
        <w:keepLines w:val="0"/>
        <w:pageBreakBefore w:val="0"/>
        <w:widowControl w:val="0"/>
        <w:shd w:val="clear"/>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b/>
          <w:color w:val="auto"/>
          <w:sz w:val="21"/>
          <w:szCs w:val="21"/>
          <w:highlight w:val="none"/>
        </w:rPr>
      </w:pPr>
      <w:r>
        <w:rPr>
          <w:rFonts w:hint="eastAsia" w:ascii="宋体" w:hAnsi="宋体" w:eastAsia="宋体" w:cs="宋体"/>
          <w:b/>
          <w:color w:val="auto"/>
          <w:szCs w:val="21"/>
          <w:highlight w:val="none"/>
        </w:rPr>
        <w:t>（三）总得分=1 + 2 + 3</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w:t>
      </w:r>
    </w:p>
    <w:p w14:paraId="487D9102">
      <w:pPr>
        <w:pStyle w:val="14"/>
        <w:keepNext w:val="0"/>
        <w:keepLines w:val="0"/>
        <w:pageBreakBefore w:val="0"/>
        <w:widowControl w:val="0"/>
        <w:shd w:val="clear"/>
        <w:kinsoku/>
        <w:wordWrap/>
        <w:overflowPunct/>
        <w:topLinePunct w:val="0"/>
        <w:autoSpaceDE/>
        <w:autoSpaceDN/>
        <w:bidi w:val="0"/>
        <w:snapToGrid/>
        <w:spacing w:line="400" w:lineRule="exact"/>
        <w:ind w:left="0"/>
        <w:rPr>
          <w:rFonts w:hint="eastAsia" w:ascii="宋体" w:hAnsi="宋体"/>
          <w:b/>
          <w:bCs/>
          <w:color w:val="auto"/>
          <w:sz w:val="21"/>
          <w:szCs w:val="21"/>
          <w:highlight w:val="none"/>
        </w:rPr>
      </w:pPr>
      <w:r>
        <w:rPr>
          <w:rFonts w:hint="eastAsia" w:ascii="宋体" w:hAnsi="宋体"/>
          <w:b/>
          <w:bCs/>
          <w:color w:val="auto"/>
          <w:sz w:val="21"/>
          <w:szCs w:val="21"/>
          <w:highlight w:val="none"/>
        </w:rPr>
        <w:t>三、成交候选供应商推荐原则</w:t>
      </w:r>
    </w:p>
    <w:p w14:paraId="7FF9C5E3">
      <w:pPr>
        <w:pStyle w:val="10"/>
        <w:keepNext w:val="0"/>
        <w:keepLines w:val="0"/>
        <w:pageBreakBefore w:val="0"/>
        <w:widowControl w:val="0"/>
        <w:shd w:val="clear"/>
        <w:kinsoku/>
        <w:wordWrap/>
        <w:overflowPunct/>
        <w:topLinePunct w:val="0"/>
        <w:autoSpaceDE/>
        <w:autoSpaceDN/>
        <w:bidi w:val="0"/>
        <w:snapToGrid/>
        <w:spacing w:line="400" w:lineRule="exact"/>
        <w:rPr>
          <w:rFonts w:hint="eastAsia" w:hAnsi="宋体" w:cs="Times New Roman"/>
          <w:color w:val="auto"/>
          <w:sz w:val="21"/>
          <w:szCs w:val="21"/>
          <w:highlight w:val="none"/>
        </w:rPr>
      </w:pPr>
      <w:r>
        <w:rPr>
          <w:rFonts w:hint="eastAsia" w:hAnsi="宋体"/>
          <w:b/>
          <w:color w:val="auto"/>
          <w:sz w:val="21"/>
          <w:szCs w:val="21"/>
          <w:highlight w:val="none"/>
        </w:rPr>
        <w:t xml:space="preserve">    </w:t>
      </w:r>
      <w:r>
        <w:rPr>
          <w:rFonts w:hint="eastAsia" w:hAnsi="宋体" w:cs="Times New Roman"/>
          <w:color w:val="auto"/>
          <w:sz w:val="21"/>
          <w:szCs w:val="21"/>
          <w:highlight w:val="none"/>
        </w:rPr>
        <w:t>（一）磋商小组将根据得分由高到低排列次序（得分相同时，以磋商报价</w:t>
      </w:r>
      <w:r>
        <w:rPr>
          <w:rFonts w:hint="eastAsia" w:hAnsi="宋体" w:cs="Times New Roman"/>
          <w:b/>
          <w:color w:val="auto"/>
          <w:sz w:val="21"/>
          <w:szCs w:val="21"/>
          <w:highlight w:val="none"/>
        </w:rPr>
        <w:t>由</w:t>
      </w:r>
      <w:r>
        <w:rPr>
          <w:rFonts w:hint="eastAsia" w:hAnsi="宋体" w:cs="Times New Roman"/>
          <w:b/>
          <w:color w:val="auto"/>
          <w:sz w:val="21"/>
          <w:szCs w:val="21"/>
          <w:highlight w:val="none"/>
          <w:lang w:val="en-US" w:eastAsia="zh-CN"/>
        </w:rPr>
        <w:t>高</w:t>
      </w:r>
      <w:r>
        <w:rPr>
          <w:rFonts w:hint="eastAsia" w:hAnsi="宋体" w:cs="Times New Roman"/>
          <w:b/>
          <w:color w:val="auto"/>
          <w:sz w:val="21"/>
          <w:szCs w:val="21"/>
          <w:highlight w:val="none"/>
        </w:rPr>
        <w:t>到</w:t>
      </w:r>
      <w:r>
        <w:rPr>
          <w:rFonts w:hint="eastAsia" w:hAnsi="宋体" w:cs="Times New Roman"/>
          <w:b/>
          <w:color w:val="auto"/>
          <w:sz w:val="21"/>
          <w:szCs w:val="21"/>
          <w:highlight w:val="none"/>
          <w:lang w:val="en-US" w:eastAsia="zh-CN"/>
        </w:rPr>
        <w:t>低</w:t>
      </w:r>
      <w:r>
        <w:rPr>
          <w:rFonts w:hint="eastAsia" w:hAnsi="宋体" w:cs="Times New Roman"/>
          <w:color w:val="auto"/>
          <w:sz w:val="21"/>
          <w:szCs w:val="21"/>
          <w:highlight w:val="none"/>
        </w:rPr>
        <w:t>顺序排列；得分相同且磋商报价相同的，按技术</w:t>
      </w:r>
      <w:r>
        <w:rPr>
          <w:rFonts w:hint="eastAsia" w:hAnsi="宋体" w:cs="Times New Roman"/>
          <w:color w:val="auto"/>
          <w:sz w:val="21"/>
          <w:szCs w:val="21"/>
          <w:highlight w:val="none"/>
          <w:lang w:val="en-US" w:eastAsia="zh-CN"/>
        </w:rPr>
        <w:t>分</w:t>
      </w:r>
      <w:r>
        <w:rPr>
          <w:rFonts w:hint="eastAsia" w:hAnsi="宋体" w:cs="Times New Roman"/>
          <w:color w:val="auto"/>
          <w:sz w:val="21"/>
          <w:szCs w:val="21"/>
          <w:highlight w:val="none"/>
        </w:rPr>
        <w:t>优劣顺序排列）并推荐成交候选供应商。采购单位应当确定磋商小组推荐排名第一的成交候选人为成交人。排名第一的成交候选人放弃成交、因不可抗力提出不能履行合同，采购单位可以确定排名第二的成交候选人为成交人。排名第二的成交候选人因前款规定的同样原因不能签订合同的，采购单位可以确定排名第三的成交候选人为成交人。采购人也可以决定重新采购。对采购过程、成交结果提出的质</w:t>
      </w:r>
      <w:r>
        <w:rPr>
          <w:rFonts w:hint="eastAsia" w:hAnsi="宋体"/>
          <w:color w:val="auto"/>
          <w:sz w:val="21"/>
          <w:szCs w:val="21"/>
          <w:highlight w:val="none"/>
        </w:rPr>
        <w:t>疑</w:t>
      </w:r>
      <w:r>
        <w:rPr>
          <w:rFonts w:hAnsi="宋体"/>
          <w:color w:val="auto"/>
          <w:sz w:val="21"/>
          <w:szCs w:val="21"/>
          <w:highlight w:val="none"/>
        </w:rPr>
        <w:t>成立</w:t>
      </w:r>
      <w:r>
        <w:rPr>
          <w:rFonts w:hint="eastAsia" w:hAnsi="宋体" w:cs="Times New Roman"/>
          <w:color w:val="auto"/>
          <w:sz w:val="21"/>
          <w:szCs w:val="21"/>
          <w:highlight w:val="none"/>
        </w:rPr>
        <w:t>后取消成交资格，合格供应商符合法定数量时，可以从合格的成交候选人中另行确定成交供应商的，应当依法另行确定成交供应商；否则应当重新开展采购活动。</w:t>
      </w:r>
    </w:p>
    <w:p w14:paraId="5B53F8BD">
      <w:pPr>
        <w:keepNext w:val="0"/>
        <w:keepLines w:val="0"/>
        <w:pageBreakBefore w:val="0"/>
        <w:widowControl w:val="0"/>
        <w:shd w:val="clear"/>
        <w:kinsoku/>
        <w:wordWrap/>
        <w:overflowPunct/>
        <w:topLinePunct w:val="0"/>
        <w:autoSpaceDE/>
        <w:autoSpaceDN/>
        <w:bidi w:val="0"/>
        <w:snapToGrid/>
        <w:spacing w:line="400" w:lineRule="exact"/>
        <w:ind w:firstLine="420"/>
        <w:rPr>
          <w:rFonts w:hint="eastAsia" w:ascii="宋体" w:hAnsi="宋体"/>
          <w:color w:val="auto"/>
          <w:sz w:val="21"/>
          <w:szCs w:val="21"/>
          <w:highlight w:val="none"/>
        </w:rPr>
      </w:pPr>
      <w:r>
        <w:rPr>
          <w:rFonts w:hint="eastAsia" w:ascii="宋体" w:hAnsi="宋体"/>
          <w:color w:val="auto"/>
          <w:sz w:val="21"/>
          <w:szCs w:val="21"/>
          <w:highlight w:val="none"/>
        </w:rPr>
        <w:t>（二）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将其作为无效竞标处理。</w:t>
      </w:r>
    </w:p>
    <w:p w14:paraId="253E2DF1">
      <w:pPr>
        <w:keepNext w:val="0"/>
        <w:keepLines w:val="0"/>
        <w:pageBreakBefore w:val="0"/>
        <w:widowControl w:val="0"/>
        <w:shd w:val="clear"/>
        <w:kinsoku/>
        <w:wordWrap/>
        <w:overflowPunct/>
        <w:topLinePunct w:val="0"/>
        <w:autoSpaceDE/>
        <w:autoSpaceDN/>
        <w:bidi w:val="0"/>
        <w:snapToGrid/>
        <w:spacing w:line="380" w:lineRule="exact"/>
        <w:rPr>
          <w:color w:val="auto"/>
          <w:highlight w:val="none"/>
        </w:rPr>
      </w:pPr>
    </w:p>
    <w:p w14:paraId="5BDEF209">
      <w:pPr>
        <w:keepNext w:val="0"/>
        <w:keepLines w:val="0"/>
        <w:pageBreakBefore w:val="0"/>
        <w:widowControl w:val="0"/>
        <w:shd w:val="clear"/>
        <w:kinsoku/>
        <w:wordWrap/>
        <w:overflowPunct/>
        <w:topLinePunct w:val="0"/>
        <w:autoSpaceDE/>
        <w:autoSpaceDN/>
        <w:bidi w:val="0"/>
        <w:snapToGrid/>
        <w:spacing w:line="380" w:lineRule="exact"/>
        <w:rPr>
          <w:color w:val="auto"/>
          <w:highlight w:val="none"/>
        </w:rPr>
      </w:pPr>
    </w:p>
    <w:p w14:paraId="6809696D">
      <w:pPr>
        <w:keepNext w:val="0"/>
        <w:keepLines w:val="0"/>
        <w:pageBreakBefore w:val="0"/>
        <w:widowControl w:val="0"/>
        <w:shd w:val="clear"/>
        <w:kinsoku/>
        <w:wordWrap/>
        <w:overflowPunct/>
        <w:topLinePunct w:val="0"/>
        <w:autoSpaceDE/>
        <w:autoSpaceDN/>
        <w:bidi w:val="0"/>
        <w:snapToGrid/>
        <w:spacing w:line="380" w:lineRule="exact"/>
        <w:rPr>
          <w:color w:val="auto"/>
          <w:highlight w:val="none"/>
        </w:rPr>
      </w:pPr>
    </w:p>
    <w:sectPr>
      <w:footerReference r:id="rId8" w:type="first"/>
      <w:footerReference r:id="rId6" w:type="default"/>
      <w:footerReference r:id="rId7" w:type="even"/>
      <w:pgSz w:w="11905" w:h="16838"/>
      <w:pgMar w:top="1134" w:right="1134" w:bottom="1134" w:left="113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Tahoma">
    <w:panose1 w:val="020B0604030504040204"/>
    <w:charset w:val="00"/>
    <w:family w:val="swiss"/>
    <w:pitch w:val="default"/>
    <w:sig w:usb0="E1002AFF" w:usb1="C000605B" w:usb2="00000029" w:usb3="00000000" w:csb0="200101FF" w:csb1="20280000"/>
  </w:font>
  <w:font w:name="华文新魏">
    <w:altName w:val="宋体-简"/>
    <w:panose1 w:val="02010800040101010101"/>
    <w:charset w:val="86"/>
    <w:family w:val="auto"/>
    <w:pitch w:val="default"/>
    <w:sig w:usb0="00000000" w:usb1="00000000" w:usb2="00000000" w:usb3="00000000" w:csb0="00040000" w:csb1="00000000"/>
  </w:font>
  <w:font w:name="宋体-简">
    <w:panose1 w:val="02010800040101010101"/>
    <w:charset w:val="86"/>
    <w:family w:val="auto"/>
    <w:pitch w:val="default"/>
    <w:sig w:usb0="00000001" w:usb1="080F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altName w:val="汉仪旗黑"/>
    <w:panose1 w:val="020B0503020204020204"/>
    <w:charset w:val="00"/>
    <w:family w:val="auto"/>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方正仿宋简体">
    <w:altName w:val="方正仿宋_GBK"/>
    <w:panose1 w:val="00000000000000000000"/>
    <w:charset w:val="86"/>
    <w:family w:val="auto"/>
    <w:pitch w:val="default"/>
    <w:sig w:usb0="00000000" w:usb1="00000000" w:usb2="0000001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01AF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10BD6">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810BD6">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CB97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762C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7762C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92C6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14487">
                          <w:pPr>
                            <w:pStyle w:val="11"/>
                            <w:rPr>
                              <w:rStyle w:val="20"/>
                            </w:rPr>
                          </w:pPr>
                          <w:r>
                            <w:fldChar w:fldCharType="begin"/>
                          </w:r>
                          <w:r>
                            <w:rPr>
                              <w:rStyle w:val="20"/>
                            </w:rPr>
                            <w:instrText xml:space="preserve">PAGE  </w:instrText>
                          </w:r>
                          <w:r>
                            <w:fldChar w:fldCharType="separate"/>
                          </w:r>
                          <w:r>
                            <w:rPr>
                              <w:rStyle w:val="20"/>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D14487">
                    <w:pPr>
                      <w:pStyle w:val="11"/>
                      <w:rPr>
                        <w:rStyle w:val="20"/>
                      </w:rPr>
                    </w:pPr>
                    <w:r>
                      <w:fldChar w:fldCharType="begin"/>
                    </w:r>
                    <w:r>
                      <w:rPr>
                        <w:rStyle w:val="20"/>
                      </w:rPr>
                      <w:instrText xml:space="preserve">PAGE  </w:instrText>
                    </w:r>
                    <w:r>
                      <w:fldChar w:fldCharType="separate"/>
                    </w:r>
                    <w:r>
                      <w:rPr>
                        <w:rStyle w:val="20"/>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BE5DD">
    <w:pPr>
      <w:pStyle w:val="11"/>
      <w:framePr w:wrap="around" w:vAnchor="text" w:hAnchor="margin" w:xAlign="center" w:y="1"/>
      <w:rPr>
        <w:rStyle w:val="20"/>
      </w:rPr>
    </w:pPr>
    <w:r>
      <w:fldChar w:fldCharType="begin"/>
    </w:r>
    <w:r>
      <w:rPr>
        <w:rStyle w:val="20"/>
      </w:rPr>
      <w:instrText xml:space="preserve">PAGE  </w:instrText>
    </w:r>
    <w:r>
      <w:fldChar w:fldCharType="separate"/>
    </w:r>
    <w:r>
      <w:fldChar w:fldCharType="end"/>
    </w:r>
  </w:p>
  <w:p w14:paraId="66035C0D">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CB5A2">
    <w:pPr>
      <w:pStyle w:val="11"/>
      <w:ind w:right="360"/>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FEEE9">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A6FEEE9">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BA6D">
    <w:pPr>
      <w:pStyle w:val="12"/>
      <w:jc w:val="right"/>
      <w:rPr>
        <w:rFonts w:hint="eastAsia" w:ascii="宋体" w:hAnsi="宋体" w:eastAsia="宋体" w:cs="宋体"/>
        <w:lang w:eastAsia="zh-CN"/>
      </w:rPr>
    </w:pPr>
    <w:r>
      <w:rPr>
        <w:rFonts w:hint="eastAsia" w:ascii="宋体" w:hAnsi="宋体"/>
        <w:color w:val="auto"/>
        <w:highlight w:val="none"/>
        <w:lang w:eastAsia="zh-CN"/>
      </w:rPr>
      <w:t>广西制造工程职业技术学院40#、41#、42#学生宿舍楼项目全过程跟踪审计服务</w:t>
    </w:r>
    <w:r>
      <w:rPr>
        <w:rFonts w:hint="eastAsia" w:ascii="宋体" w:hAnsi="宋体"/>
        <w:color w:val="auto"/>
        <w:szCs w:val="21"/>
        <w:highlight w:val="none"/>
        <w:u w:val="none"/>
        <w:lang w:eastAsia="zh-CN"/>
      </w:rPr>
      <w:t>（</w:t>
    </w:r>
    <w:r>
      <w:rPr>
        <w:spacing w:val="2"/>
      </w:rPr>
      <w:t>施工过程造价咨询</w:t>
    </w:r>
    <w:r>
      <w:rPr>
        <w:rFonts w:hint="eastAsia"/>
        <w:spacing w:val="2"/>
        <w:lang w:eastAsia="zh-CN"/>
      </w:rPr>
      <w:t>、</w:t>
    </w:r>
    <w:r>
      <w:rPr>
        <w:spacing w:val="4"/>
      </w:rPr>
      <w:t>工</w:t>
    </w:r>
    <w:r>
      <w:rPr>
        <w:spacing w:val="2"/>
      </w:rPr>
      <w:t>程竣工结算审核</w:t>
    </w:r>
    <w:r>
      <w:rPr>
        <w:rFonts w:hint="eastAsia"/>
        <w:spacing w:val="2"/>
        <w:lang w:eastAsia="zh-CN"/>
      </w:rPr>
      <w:t>）</w:t>
    </w:r>
    <w:r>
      <w:rPr>
        <w:rFonts w:hint="eastAsia" w:ascii="宋体" w:hAnsi="宋体"/>
        <w:color w:val="auto"/>
        <w:highlight w:val="none"/>
        <w:lang w:eastAsia="zh-CN"/>
      </w:rPr>
      <w:t>采购</w:t>
    </w:r>
    <w:r>
      <w:rPr>
        <w:rFonts w:hint="eastAsia" w:ascii="宋体" w:hAnsi="宋体" w:eastAsia="宋体" w:cs="宋体"/>
        <w:lang w:eastAsia="zh-CN"/>
      </w:rPr>
      <w:t>（</w:t>
    </w:r>
    <w:r>
      <w:rPr>
        <w:rFonts w:hint="eastAsia" w:ascii="宋体" w:hAnsi="宋体" w:cs="宋体"/>
        <w:lang w:eastAsia="zh-CN"/>
      </w:rPr>
      <w:t>GXGL2025S-C647-Z</w:t>
    </w:r>
    <w:r>
      <w:rPr>
        <w:rFonts w:hint="eastAsia" w:ascii="宋体" w:hAnsi="宋体" w:eastAsia="宋体" w:cs="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OWE4NTA2YzBhYTlhOTQ2ODFkZTBiZmMyMmZjNTUifQ=="/>
    <w:docVar w:name="KSO_WPS_MARK_KEY" w:val="023c7e4b-de79-4bf8-9c32-32e8063a4817"/>
  </w:docVars>
  <w:rsids>
    <w:rsidRoot w:val="00172A27"/>
    <w:rsid w:val="013E12E2"/>
    <w:rsid w:val="01F418EB"/>
    <w:rsid w:val="056E61FC"/>
    <w:rsid w:val="05B35C2A"/>
    <w:rsid w:val="07D01B5E"/>
    <w:rsid w:val="080E6259"/>
    <w:rsid w:val="0854453D"/>
    <w:rsid w:val="0858732C"/>
    <w:rsid w:val="0D4E1EA3"/>
    <w:rsid w:val="0DB53CD0"/>
    <w:rsid w:val="0E5D688B"/>
    <w:rsid w:val="11F61E6D"/>
    <w:rsid w:val="12AF2F30"/>
    <w:rsid w:val="139A271C"/>
    <w:rsid w:val="15A657CA"/>
    <w:rsid w:val="165B2F3A"/>
    <w:rsid w:val="16B00B30"/>
    <w:rsid w:val="16C34B0C"/>
    <w:rsid w:val="17742275"/>
    <w:rsid w:val="1C184EC3"/>
    <w:rsid w:val="1D756FD8"/>
    <w:rsid w:val="1EB17F18"/>
    <w:rsid w:val="1F5115F8"/>
    <w:rsid w:val="1FB44D91"/>
    <w:rsid w:val="202076CF"/>
    <w:rsid w:val="225020E4"/>
    <w:rsid w:val="227D06FB"/>
    <w:rsid w:val="22823C2A"/>
    <w:rsid w:val="232D416A"/>
    <w:rsid w:val="23AE5916"/>
    <w:rsid w:val="23BC6B78"/>
    <w:rsid w:val="23C8359B"/>
    <w:rsid w:val="277B422E"/>
    <w:rsid w:val="294E18B8"/>
    <w:rsid w:val="2A3D2694"/>
    <w:rsid w:val="2BE1588C"/>
    <w:rsid w:val="2C454217"/>
    <w:rsid w:val="2D39592C"/>
    <w:rsid w:val="2E731311"/>
    <w:rsid w:val="2EA0078D"/>
    <w:rsid w:val="2F530D52"/>
    <w:rsid w:val="30854BE9"/>
    <w:rsid w:val="31EF775C"/>
    <w:rsid w:val="345C0DBC"/>
    <w:rsid w:val="35847960"/>
    <w:rsid w:val="3CA56B3A"/>
    <w:rsid w:val="3CAD6421"/>
    <w:rsid w:val="3DFC5847"/>
    <w:rsid w:val="3F6411CC"/>
    <w:rsid w:val="433F0E43"/>
    <w:rsid w:val="43482F38"/>
    <w:rsid w:val="44634CD7"/>
    <w:rsid w:val="46C81365"/>
    <w:rsid w:val="4B426698"/>
    <w:rsid w:val="4B553E21"/>
    <w:rsid w:val="4C17135C"/>
    <w:rsid w:val="4CA11388"/>
    <w:rsid w:val="4D2E66D8"/>
    <w:rsid w:val="4F730E42"/>
    <w:rsid w:val="50067498"/>
    <w:rsid w:val="52C9709F"/>
    <w:rsid w:val="53FE1884"/>
    <w:rsid w:val="54B020C8"/>
    <w:rsid w:val="54F42376"/>
    <w:rsid w:val="577E025B"/>
    <w:rsid w:val="5793195E"/>
    <w:rsid w:val="58C56CF8"/>
    <w:rsid w:val="58D51B30"/>
    <w:rsid w:val="597E2795"/>
    <w:rsid w:val="5AA77AC9"/>
    <w:rsid w:val="5B693EEC"/>
    <w:rsid w:val="5CC65434"/>
    <w:rsid w:val="5EBA5F76"/>
    <w:rsid w:val="5F102A07"/>
    <w:rsid w:val="622A758C"/>
    <w:rsid w:val="62EF200D"/>
    <w:rsid w:val="66790F16"/>
    <w:rsid w:val="66DF78DB"/>
    <w:rsid w:val="67C21B9B"/>
    <w:rsid w:val="67EE515D"/>
    <w:rsid w:val="6ABC231A"/>
    <w:rsid w:val="6E102DC0"/>
    <w:rsid w:val="70DD00DE"/>
    <w:rsid w:val="747D44D4"/>
    <w:rsid w:val="75AE0752"/>
    <w:rsid w:val="776A6D0B"/>
    <w:rsid w:val="78312740"/>
    <w:rsid w:val="7A4C1058"/>
    <w:rsid w:val="7CA332F6"/>
    <w:rsid w:val="7D172FF6"/>
    <w:rsid w:val="7EFE41F0"/>
    <w:rsid w:val="7FA60777"/>
    <w:rsid w:val="F6FF9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widowControl w:val="0"/>
      <w:spacing w:line="560" w:lineRule="exact"/>
      <w:ind w:firstLine="723" w:firstLineChars="200"/>
      <w:jc w:val="both"/>
      <w:outlineLvl w:val="0"/>
    </w:pPr>
    <w:rPr>
      <w:rFonts w:ascii="等线" w:hAnsi="等线" w:eastAsia="黑体" w:cs="宋体"/>
      <w:bCs/>
      <w:kern w:val="44"/>
      <w:sz w:val="32"/>
      <w:szCs w:val="44"/>
      <w:lang w:val="en-US" w:eastAsia="zh-CN" w:bidi="ar-SA"/>
    </w:rPr>
  </w:style>
  <w:style w:type="paragraph" w:styleId="4">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paragraph" w:styleId="5">
    <w:name w:val="heading 5"/>
    <w:next w:val="1"/>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line="380" w:lineRule="exact"/>
    </w:pPr>
    <w:rPr>
      <w:sz w:val="24"/>
    </w:rPr>
  </w:style>
  <w:style w:type="paragraph" w:styleId="8">
    <w:name w:val="Body Text Indent"/>
    <w:basedOn w:val="1"/>
    <w:autoRedefine/>
    <w:qFormat/>
    <w:uiPriority w:val="0"/>
    <w:pPr>
      <w:ind w:firstLine="830" w:firstLineChars="352"/>
    </w:pPr>
    <w:rPr>
      <w:rFonts w:ascii="仿宋_GB2312" w:eastAsia="仿宋_GB2312"/>
      <w:sz w:val="32"/>
      <w:szCs w:val="20"/>
    </w:rPr>
  </w:style>
  <w:style w:type="paragraph" w:styleId="9">
    <w:name w:val="List 2"/>
    <w:basedOn w:val="1"/>
    <w:autoRedefine/>
    <w:qFormat/>
    <w:uiPriority w:val="0"/>
    <w:pPr>
      <w:ind w:left="100" w:leftChars="200" w:hanging="200" w:hangingChars="200"/>
    </w:pPr>
    <w:rPr>
      <w:sz w:val="28"/>
    </w:rPr>
  </w:style>
  <w:style w:type="paragraph" w:styleId="10">
    <w:name w:val="Plain Text"/>
    <w:basedOn w:val="1"/>
    <w:next w:val="4"/>
    <w:autoRedefine/>
    <w:qFormat/>
    <w:uiPriority w:val="0"/>
    <w:rPr>
      <w:rFonts w:ascii="宋体" w:hAnsi="Courier New" w:cs="Courier New"/>
      <w:szCs w:val="21"/>
    </w:rPr>
  </w:style>
  <w:style w:type="paragraph" w:styleId="11">
    <w:name w:val="footer"/>
    <w:basedOn w:val="1"/>
    <w:next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15">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16">
    <w:name w:val="Body Text First Indent 2"/>
    <w:basedOn w:val="1"/>
    <w:unhideWhenUsed/>
    <w:qFormat/>
    <w:uiPriority w:val="99"/>
    <w:pPr>
      <w:ind w:firstLine="420" w:firstLineChars="200"/>
    </w:pPr>
  </w:style>
  <w:style w:type="table" w:styleId="1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autoRedefine/>
    <w:qFormat/>
    <w:uiPriority w:val="0"/>
    <w:rPr>
      <w:rFonts w:ascii="Times New Roman" w:hAnsi="Times New Roman" w:eastAsia="宋体" w:cs="Times New Roman"/>
    </w:rPr>
  </w:style>
  <w:style w:type="character" w:styleId="21">
    <w:name w:val="Hyperlink"/>
    <w:autoRedefine/>
    <w:qFormat/>
    <w:uiPriority w:val="99"/>
    <w:rPr>
      <w:color w:val="0000CC"/>
      <w:sz w:val="18"/>
      <w:szCs w:val="18"/>
      <w:u w:val="single"/>
    </w:rPr>
  </w:style>
  <w:style w:type="character" w:styleId="22">
    <w:name w:val="annotation reference"/>
    <w:autoRedefine/>
    <w:qFormat/>
    <w:uiPriority w:val="0"/>
    <w:rPr>
      <w:sz w:val="21"/>
      <w:szCs w:val="21"/>
    </w:rPr>
  </w:style>
  <w:style w:type="character" w:customStyle="1" w:styleId="23">
    <w:name w:val="NormalCharacter"/>
    <w:autoRedefine/>
    <w:semiHidden/>
    <w:qFormat/>
    <w:uiPriority w:val="0"/>
  </w:style>
  <w:style w:type="paragraph" w:customStyle="1" w:styleId="24">
    <w:name w:val="1"/>
    <w:basedOn w:val="1"/>
    <w:next w:val="10"/>
    <w:autoRedefine/>
    <w:qFormat/>
    <w:uiPriority w:val="0"/>
    <w:rPr>
      <w:rFonts w:ascii="宋体" w:hAnsi="Courier New"/>
      <w:szCs w:val="20"/>
    </w:rPr>
  </w:style>
  <w:style w:type="paragraph" w:customStyle="1" w:styleId="25">
    <w:name w:val="默认段落字体 Para Char Char Char Char Char Char Char Char Char1 Char Char Char Char"/>
    <w:basedOn w:val="1"/>
    <w:autoRedefine/>
    <w:qFormat/>
    <w:uiPriority w:val="0"/>
    <w:rPr>
      <w:rFonts w:ascii="Tahoma" w:hAnsi="Tahoma"/>
      <w:sz w:val="24"/>
      <w:szCs w:val="20"/>
    </w:rPr>
  </w:style>
  <w:style w:type="paragraph" w:styleId="26">
    <w:name w:val="List Paragraph"/>
    <w:basedOn w:val="1"/>
    <w:autoRedefine/>
    <w:qFormat/>
    <w:uiPriority w:val="34"/>
    <w:pPr>
      <w:ind w:firstLine="420" w:firstLineChars="200"/>
    </w:pPr>
    <w:rPr>
      <w:rFonts w:ascii="Calibri" w:hAnsi="Calibri"/>
      <w:kern w:val="0"/>
      <w:sz w:val="20"/>
      <w:szCs w:val="20"/>
    </w:rPr>
  </w:style>
  <w:style w:type="paragraph" w:customStyle="1" w:styleId="27">
    <w:name w:val="表格文字"/>
    <w:basedOn w:val="1"/>
    <w:autoRedefine/>
    <w:qFormat/>
    <w:uiPriority w:val="99"/>
    <w:pPr>
      <w:jc w:val="left"/>
    </w:pPr>
    <w:rPr>
      <w:bCs/>
      <w:spacing w:val="10"/>
      <w:kern w:val="0"/>
      <w:sz w:val="24"/>
      <w:szCs w:val="24"/>
    </w:rPr>
  </w:style>
  <w:style w:type="paragraph" w:customStyle="1" w:styleId="28">
    <w:name w:val="Table Text"/>
    <w:basedOn w:val="1"/>
    <w:unhideWhenUsed/>
    <w:qFormat/>
    <w:uiPriority w:val="0"/>
    <w:pPr>
      <w:spacing w:beforeLines="0" w:afterLines="0"/>
    </w:pPr>
    <w:rPr>
      <w:rFonts w:hint="eastAsia" w:ascii="等线" w:hAnsi="等线" w:eastAsia="等线" w:cs="等线"/>
      <w:sz w:val="20"/>
      <w:szCs w:val="20"/>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df8573ee-b1d3-4b45-9a11-b0113357b704</errorID>
      <errorWord>下午15时00</errorWord>
      <group>L1_Knowledge</group>
      <groupName>知识性问题</groupName>
      <ability>L2_Time</ability>
      <abilityName>日期时间</abilityName>
      <candidateList>
        <item>15时00</item>
      </candidateList>
      <explain>24小时制的时间，不需要强调“下午”。</explain>
      <paraID>1A079989</paraID>
      <start>46</start>
      <end>53</end>
      <status>unmodified</status>
      <modifiedWord/>
      <trackRevisions>false</trackRevisions>
    </reviewItem>
    <reviewItem>
      <errorID>d94fb4c3-8fd9-429a-b7dc-57c93b0869ec</errorID>
      <errorWord>。】</errorWord>
      <group>L1_Punc</group>
      <groupName>标点问题</groupName>
      <ability>L2_Punc</ability>
      <abilityName>标点符号检查</abilityName>
      <candidateList>
        <item>】</item>
      </candidateList>
      <explain/>
      <paraID>12643803</paraID>
      <start>135</start>
      <end>137</end>
      <status>unmodified</status>
      <modifiedWord/>
      <trackRevisions>false</trackRevisions>
    </reviewItem>
    <reviewItem>
      <errorID>5de4e88b-58cc-42dc-ae29-3392a1e4cf37</errorID>
      <errorWord>(</errorWord>
      <group>L1_Format</group>
      <groupName>格式问题</groupName>
      <ability>L2_HalfPunc</ability>
      <abilityName>全半角检查</abilityName>
      <candidateList>
        <item>（</item>
      </candidateList>
      <explain>文本全半角错误。</explain>
      <paraID>2E38FF94</paraID>
      <start>13</start>
      <end>14</end>
      <status>unmodified</status>
      <modifiedWord/>
      <trackRevisions>false</trackRevisions>
    </reviewItem>
    <reviewItem>
      <errorID>1fda74c8-a3b2-4ee2-a8a5-7297977e40e4</errorID>
      <errorWord>)</errorWord>
      <group>L1_Format</group>
      <groupName>格式问题</groupName>
      <ability>L2_HalfPunc</ability>
      <abilityName>全半角检查</abilityName>
      <candidateList>
        <item>）</item>
      </candidateList>
      <explain>文本全半角错误。</explain>
      <paraID>2E38FF94</paraID>
      <start>36</start>
      <end>37</end>
      <status>unmodified</status>
      <modifiedWord/>
      <trackRevisions>false</trackRevisions>
    </reviewItem>
    <reviewItem>
      <errorID>9cb63dfd-e9e0-4a57-94ed-05e2d33bbd1c</errorID>
      <errorWord>(</errorWord>
      <group>L1_Format</group>
      <groupName>格式问题</groupName>
      <ability>L2_HalfPunc</ability>
      <abilityName>全半角检查</abilityName>
      <candidateList>
        <item>（</item>
      </candidateList>
      <explain>文本全半角错误。</explain>
      <paraID>2E38FF94</paraID>
      <start>46</start>
      <end>47</end>
      <status>unmodified</status>
      <modifiedWord/>
      <trackRevisions>false</trackRevisions>
    </reviewItem>
    <reviewItem>
      <errorID>e0744cf2-3710-4367-b054-e50458555a9a</errorID>
      <errorWord>)</errorWord>
      <group>L1_Format</group>
      <groupName>格式问题</groupName>
      <ability>L2_HalfPunc</ability>
      <abilityName>全半角检查</abilityName>
      <candidateList>
        <item>）</item>
      </candidateList>
      <explain>文本全半角错误。</explain>
      <paraID>2E38FF94</paraID>
      <start>62</start>
      <end>63</end>
      <status>unmodified</status>
      <modifiedWord/>
      <trackRevisions>false</trackRevisions>
    </reviewItem>
    <reviewItem>
      <errorID>ffb565fa-e4d8-4dbe-94ee-b31605f1a593</errorID>
      <errorWord>(</errorWord>
      <group>L1_Format</group>
      <groupName>格式问题</groupName>
      <ability>L2_HalfPunc</ability>
      <abilityName>全半角检查</abilityName>
      <candidateList>
        <item>（</item>
      </candidateList>
      <explain>文本全半角错误。</explain>
      <paraID> 2DA61AB</paraID>
      <start>19</start>
      <end>20</end>
      <status>unmodified</status>
      <modifiedWord/>
      <trackRevisions>false</trackRevisions>
    </reviewItem>
    <reviewItem>
      <errorID>3e448895-7772-4a7e-a157-c96daa0c9a6b</errorID>
      <errorWord>)</errorWord>
      <group>L1_Format</group>
      <groupName>格式问题</groupName>
      <ability>L2_HalfPunc</ability>
      <abilityName>全半角检查</abilityName>
      <candidateList>
        <item>）</item>
      </candidateList>
      <explain>文本全半角错误。</explain>
      <paraID> 2DA61AB</paraID>
      <start>42</start>
      <end>43</end>
      <status>unmodified</status>
      <modifiedWord/>
      <trackRevisions>false</trackRevisions>
    </reviewItem>
    <reviewItem>
      <errorID>1d845fcc-4ab5-4ee2-8b24-ccb0b3094c89</errorID>
      <errorWord>(</errorWord>
      <group>L1_Format</group>
      <groupName>格式问题</groupName>
      <ability>L2_HalfPunc</ability>
      <abilityName>全半角检查</abilityName>
      <candidateList>
        <item>（</item>
      </candidateList>
      <explain>文本全半角错误。</explain>
      <paraID> 2DA61AB</paraID>
      <start>52</start>
      <end>53</end>
      <status>unmodified</status>
      <modifiedWord/>
      <trackRevisions>false</trackRevisions>
    </reviewItem>
    <reviewItem>
      <errorID>8d8dee7a-ad81-47a5-98dd-9b5a11c46146</errorID>
      <errorWord>)</errorWord>
      <group>L1_Format</group>
      <groupName>格式问题</groupName>
      <ability>L2_HalfPunc</ability>
      <abilityName>全半角检查</abilityName>
      <candidateList>
        <item>）</item>
      </candidateList>
      <explain>文本全半角错误。</explain>
      <paraID> 2DA61AB</paraID>
      <start>68</start>
      <end>69</end>
      <status>unmodified</status>
      <modifiedWord/>
      <trackRevisions>false</trackRevisions>
    </reviewItem>
    <reviewItem>
      <errorID>c89efea6-33d6-48f4-a84c-d977ffe90635</errorID>
      <errorWord>，</errorWord>
      <group>L1_Word</group>
      <groupName>字词问题</groupName>
      <ability>L2_Typo</ability>
      <abilityName>字词错误</abilityName>
      <candidateList>
        <item>，使</item>
      </candidateList>
      <explain/>
      <paraID>17D57A5F</paraID>
      <start>30</start>
      <end>31</end>
      <status>unmodified</status>
      <modifiedWord/>
      <trackRevisions>false</trackRevisions>
    </reviewItem>
    <reviewItem>
      <errorID>f0838f58-f301-4cdc-8adc-153da7d39c0a</errorID>
      <errorWord>其它形式</errorWord>
      <group>L1_Word</group>
      <groupName>字词问题</groupName>
      <ability>L2_Alias</ability>
      <abilityName>也作/曾用词</abilityName>
      <candidateList>
        <item>其他形式</item>
      </candidateList>
      <explain>词汇[其它形式]为不规范表述或旧称，其规范书面表述为[其他形式]。</explain>
      <paraID>17D57A5F</paraID>
      <start>116</start>
      <end>120</end>
      <status>unmodified</status>
      <modifiedWord/>
      <trackRevisions>false</trackRevisions>
    </reviewItem>
    <reviewItem>
      <errorID>2e9bd312-3b2f-4152-9915-373c27b95708</errorID>
      <errorWord>其它形式</errorWord>
      <group>L1_Word</group>
      <groupName>字词问题</groupName>
      <ability>L2_Alias</ability>
      <abilityName>也作/曾用词</abilityName>
      <candidateList>
        <item>其他形式</item>
      </candidateList>
      <explain>词汇[其它形式]为不规范表述或旧称，其规范书面表述为[其他形式]。</explain>
      <paraID>79152700</paraID>
      <start>73</start>
      <end>77</end>
      <status>unmodified</status>
      <modifiedWord/>
      <trackRevisions>false</trackRevisions>
    </reviewItem>
    <reviewItem>
      <errorID>88a2c69d-cc47-4f29-89b5-f4d925aaa3fb</errorID>
      <errorWord>,</errorWord>
      <group>L1_Format</group>
      <groupName>格式问题</groupName>
      <ability>L2_HalfPunc</ability>
      <abilityName>全半角检查</abilityName>
      <candidateList>
        <item>，</item>
      </candidateList>
      <explain>文本全半角错误。</explain>
      <paraID>2026686C</paraID>
      <start>52</start>
      <end>53</end>
      <status>unmodified</status>
      <modifiedWord/>
      <trackRevisions>false</trackRevisions>
    </reviewItem>
    <reviewItem>
      <errorID>f876daf1-f7f7-4068-9517-fb221a66160c</errorID>
      <errorWord>接</errorWord>
      <group>L1_Word</group>
      <groupName>字词问题</groupName>
      <ability>L2_Typo</ability>
      <abilityName>字词错误</abilityName>
      <candidateList>
        <item>接到</item>
      </candidateList>
      <explain/>
      <paraID> 24862DA</paraID>
      <start>8</start>
      <end>9</end>
      <status>unmodified</status>
      <modifiedWord/>
      <trackRevisions>false</trackRevisions>
    </reviewItem>
    <reviewItem>
      <errorID>140578ac-e21f-4dd9-a469-ae708e86184b</errorID>
      <errorWord>和</errorWord>
      <group>L1_Word</group>
      <groupName>字词问题</groupName>
      <ability>L2_Typo</ability>
      <abilityName>字词错误</abilityName>
      <candidateList>
        <item>和加</item>
      </candidateList>
      <explain/>
      <paraID> 97BCEFA</paraID>
      <start>47</start>
      <end>48</end>
      <status>unmodified</status>
      <modifiedWord/>
      <trackRevisions>false</trackRevisions>
    </reviewItem>
    <reviewItem>
      <errorID>dda11dff-34eb-4d89-9dac-36a164b9392f</errorID>
      <errorWord>在凡</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2F43E5D2</paraID>
      <start>25</start>
      <end>27</end>
      <status>unmodified</status>
      <modifiedWord/>
      <trackRevisions>false</trackRevisions>
    </reviewItem>
    <reviewItem>
      <errorID>bb828939-f3c3-4d22-a095-db226b552857</errorID>
      <errorWord>和</errorWord>
      <group>L1_Word</group>
      <groupName>字词问题</groupName>
      <ability>L2_Typo</ability>
      <abilityName>字词错误</abilityName>
      <candidateList>
        <item>和加</item>
      </candidateList>
      <explain/>
      <paraID>2F43E5D2</paraID>
      <start>36</start>
      <end>37</end>
      <status>unmodified</status>
      <modifiedWord/>
      <trackRevisions>false</trackRevisions>
    </reviewItem>
    <reviewItem>
      <errorID>958bf94f-b5fe-44fa-a21a-8cf3356f8f60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2BBCA05C</paraID>
      <start>64</start>
      <end>67</end>
      <status>unmodified</status>
      <modifiedWord/>
      <trackRevisions>false</trackRevisions>
    </reviewItem>
    <reviewItem>
      <errorID>96d4c185-3c85-4e8a-94f8-b00b99e5750a</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284F63D7</paraID>
      <start>2</start>
      <end>7</end>
      <status>unmodified</status>
      <modifiedWord/>
      <trackRevisions>false</trackRevisions>
    </reviewItem>
    <reviewItem>
      <errorID>313ca312-3584-49f3-8a5a-0806277c744a</errorID>
      <errorWord>送达至</errorWord>
      <group>L1_Word</group>
      <groupName>字词问题</groupName>
      <ability>L2_Typo</ability>
      <abilityName>字词错误</abilityName>
      <candidateList>
        <item>送达</item>
      </candidateList>
      <explain/>
      <paraID> C03B11B</paraID>
      <start>72</start>
      <end>75</end>
      <status>unmodified</status>
      <modifiedWord/>
      <trackRevisions>false</trackRevisions>
    </reviewItem>
    <reviewItem>
      <errorID>a1ae517b-4084-4896-a25f-869d221e6f54</errorID>
      <errorWord>将会</errorWord>
      <group>L1_Word</group>
      <groupName>字词问题</groupName>
      <ability>L2_Typo</ability>
      <abilityName>字词错误</abilityName>
      <candidateList>
        <item>将</item>
      </candidateList>
      <explain>（jiāng）将要；（jiàng）勇将、上将、游泳健将；（qiāng）请求，将子无怒。</explain>
      <paraID> 1D5746B</paraID>
      <start>33</start>
      <end>35</end>
      <status>unmodified</status>
      <modifiedWord/>
      <trackRevisions>false</trackRevisions>
    </reviewItem>
    <reviewItem>
      <errorID>1d947dfc-6604-4242-8bc8-8d4445f02b17</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 1D5746B</paraID>
      <start>85</start>
      <end>87</end>
      <status>modified</status>
      <modifiedWord>账</modifiedWord>
      <trackRevisions>true</trackRevisions>
    </reviewItem>
    <reviewItem>
      <errorID>33d43126-dc3f-45b9-9833-65dfb9f01614</errorID>
      <errorWord>理</errorWord>
      <group>L1_Word</group>
      <groupName>字词问题</groupName>
      <ability>L2_Typo</ability>
      <abilityName>字词错误</abilityName>
      <candidateList>
        <item>理人</item>
      </candidateList>
      <explain/>
      <paraID>2E084AAC</paraID>
      <start>25</start>
      <end>26</end>
      <status>unmodified</status>
      <modifiedWord/>
      <trackRevisions>false</trackRevisions>
    </reviewItem>
    <reviewItem>
      <errorID>05d111d9-f6ee-46f9-8981-67ad29f16f5b</errorID>
      <errorWord>(</errorWord>
      <group>L1_Format</group>
      <groupName>格式问题</groupName>
      <ability>L2_HalfPunc</ability>
      <abilityName>全半角检查</abilityName>
      <candidateList>
        <item>（</item>
      </candidateList>
      <explain>文本全半角错误。</explain>
      <paraID>75E459B4</paraID>
      <start>41</start>
      <end>42</end>
      <status>unmodified</status>
      <modifiedWord/>
      <trackRevisions>false</trackRevisions>
    </reviewItem>
    <reviewItem>
      <errorID>34c58411-0336-4214-b5de-79536c3b701d</errorID>
      <errorWord>)</errorWord>
      <group>L1_Format</group>
      <groupName>格式问题</groupName>
      <ability>L2_HalfPunc</ability>
      <abilityName>全半角检查</abilityName>
      <candidateList>
        <item>）</item>
      </candidateList>
      <explain>文本全半角错误。</explain>
      <paraID>75E459B4</paraID>
      <start>45</start>
      <end>46</end>
      <status>unmodified</status>
      <modifiedWord/>
      <trackRevisions>false</trackRevisions>
    </reviewItem>
    <reviewItem>
      <errorID>f7849274-9a06-4108-b5e7-4ad93067dd9f</errorID>
      <errorWord>做出</errorWord>
      <group>L1_Word</group>
      <groupName>字词问题</groupName>
      <ability>L2_Typo</ability>
      <abilityName>字词错误</abilityName>
      <candidateList>
        <item>作出</item>
      </candidateList>
      <explain/>
      <paraID> 1B156A5</paraID>
      <start>129</start>
      <end>131</end>
      <status>unmodified</status>
      <modifiedWord/>
      <trackRevisions>false</trackRevisions>
    </reviewItem>
    <reviewItem>
      <errorID>a58e804c-3285-4d9a-bd51-f7aece54e85f</errorID>
      <errorWord>做出</errorWord>
      <group>L1_Word</group>
      <groupName>字词问题</groupName>
      <ability>L2_Typo</ability>
      <abilityName>字词错误</abilityName>
      <candidateList>
        <item>作出</item>
      </candidateList>
      <explain/>
      <paraID>6E1EDD28</paraID>
      <start>52</start>
      <end>54</end>
      <status>unmodified</status>
      <modifiedWord/>
      <trackRevisions>false</trackRevisions>
    </reviewItem>
    <reviewItem>
      <errorID>0387d9ee-ec1f-497f-ab7f-e18c77aad86a</errorID>
      <errorWord>国家发改委</errorWord>
      <group>L1_Knowledge</group>
      <groupName>知识性问题</groupName>
      <ability>L2_Knowledge</ability>
      <abilityName>其他知识</abilityName>
      <candidateList>
        <item>国家发展改革委</item>
      </candidateList>
      <explain/>
      <paraID>6EC98B08</paraID>
      <start>22</start>
      <end>27</end>
      <status>unmodified</status>
      <modifiedWord/>
      <trackRevisions>false</trackRevisions>
    </reviewItem>
    <reviewItem>
      <errorID>61f670c2-8c16-4947-8835-18adcd912cc5</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65046A9</paraID>
      <start>0</start>
      <end>8</end>
      <status>unmodified</status>
      <modifiedWord/>
      <trackRevisions>false</trackRevisions>
    </reviewItem>
    <reviewItem>
      <errorID>2f1769d8-a6ab-4fec-a7c1-99482d00fe0a</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5DCDA5B</paraID>
      <start>0</start>
      <end>9</end>
      <status>unmodified</status>
      <modifiedWord/>
      <trackRevisions>false</trackRevisions>
    </reviewItem>
    <reviewItem>
      <errorID>bee25c42-8dce-441f-9175-d5700ca4044d</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35827DEB</paraID>
      <start>0</start>
      <end>10</end>
      <status>unmodified</status>
      <modifiedWord/>
      <trackRevisions>false</trackRevisions>
    </reviewItem>
    <reviewItem>
      <errorID>aa78c3a2-403c-4856-8941-95557741c987</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6615BFB1</paraID>
      <start>0</start>
      <end>4</end>
      <status>unmodified</status>
      <modifiedWord/>
      <trackRevisions>false</trackRevisions>
    </reviewItem>
    <reviewItem>
      <errorID>4c8220d8-1a2d-4ec6-b9ce-53a5bfb91d4b</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774D5256</paraID>
      <start>0</start>
      <end>5</end>
      <status>unmodified</status>
      <modifiedWord/>
      <trackRevisions>false</trackRevisions>
    </reviewItem>
    <reviewItem>
      <errorID>8a79b786-f864-46d1-a0b8-f905757e4a44</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6CCD7F78</paraID>
      <start>0</start>
      <end>6</end>
      <status>unmodified</status>
      <modifiedWord/>
      <trackRevisions>false</trackRevisions>
    </reviewItem>
    <reviewItem>
      <errorID>70a61b45-890a-4192-86f3-14e492063a06</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7E899B00</paraID>
      <start>0</start>
      <end>7</end>
      <status>unmodified</status>
      <modifiedWord/>
      <trackRevisions>false</trackRevisions>
    </reviewItem>
    <reviewItem>
      <errorID>1197ed57-8270-49d3-9945-c82494c70fee</errorID>
      <errorWord>亿</errorWord>
      <group>L1_Word</group>
      <groupName>字词问题</groupName>
      <ability>L2_Typo</ability>
      <abilityName>字词错误</abilityName>
      <candidateList>
        <item>亿元</item>
      </candidateList>
      <explain/>
      <paraID>18CEF080</paraID>
      <start>3</start>
      <end>4</end>
      <status>unmodified</status>
      <modifiedWord/>
      <trackRevisions>false</trackRevisions>
    </reviewItem>
    <reviewItem>
      <errorID>c0a0265b-04a0-4646-8115-8d48480e1e63</errorID>
      <errorWord>法律、法规</errorWord>
      <group>L1_Word</group>
      <groupName>字词问题</groupName>
      <ability>L2_Typo</ability>
      <abilityName>字词错误</abilityName>
      <candidateList>
        <item>法律法规</item>
      </candidateList>
      <explain/>
      <paraID>7976F252</paraID>
      <start>15</start>
      <end>20</end>
      <status>unmodified</status>
      <modifiedWord/>
      <trackRevisions>false</trackRevisions>
    </reviewItem>
    <reviewItem>
      <errorID>6bea48ff-5e59-4079-bfba-e6b27597c233</errorID>
      <errorWord>属</errorWord>
      <group>L1_Word</group>
      <groupName>字词问题</groupName>
      <ability>L2_Typo</ability>
      <abilityName>字词错误</abilityName>
      <candidateList>
        <item>属于</item>
      </candidateList>
      <explain/>
      <paraID>7976F252</paraID>
      <start>44</start>
      <end>45</end>
      <status>unmodified</status>
      <modifiedWord/>
      <trackRevisions>false</trackRevisions>
    </reviewItem>
    <reviewItem>
      <errorID>bef3c989-b881-4fea-b54f-33e13a285620</errorID>
      <errorWord>0771—4915558</errorWord>
      <group>L1_Punc</group>
      <groupName>标点问题</groupName>
      <ability>L2_Punc</ability>
      <abilityName>标点符号检查</abilityName>
      <candidateList>
        <item>0771-4915558</item>
      </candidateList>
      <explain>电话号码使用短横线。</explain>
      <paraID>53D6D6FF</paraID>
      <start>7</start>
      <end>19</end>
      <status>unmodified</status>
      <modifiedWord/>
      <trackRevisions>false</trackRevisions>
    </reviewItem>
    <reviewItem>
      <errorID>86c887dd-90d7-4dbd-b0a4-bb701079afb3</errorID>
      <errorWord>0771—4915558</errorWord>
      <group>L1_Punc</group>
      <groupName>标点问题</groupName>
      <ability>L2_Punc</ability>
      <abilityName>标点符号检查</abilityName>
      <candidateList>
        <item>0771-4915558</item>
      </candidateList>
      <explain>电话号码使用短横线。</explain>
      <paraID>62AA4A25</paraID>
      <start>7</start>
      <end>19</end>
      <status>unmodified</status>
      <modifiedWord/>
      <trackRevisions>false</trackRevisions>
    </reviewItem>
    <reviewItem>
      <errorID>d1bc4e94-f52b-4cfb-940f-00fb1ff4ee96</errorID>
      <errorWord>或审</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400A833A</paraID>
      <start>38</start>
      <end>40</end>
      <status>unmodified</status>
      <modifiedWord/>
      <trackRevisions>false</trackRevisions>
    </reviewItem>
    <reviewItem>
      <errorID>ea12084d-87b4-46e3-adc7-3c51f7c53bfa</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6E331C29</paraID>
      <start>79</start>
      <end>81</end>
      <status>unmodified</status>
      <modifiedWord/>
      <trackRevisions>false</trackRevisions>
    </reviewItem>
    <reviewItem>
      <errorID>f493847f-f9d7-4a23-ba91-d6d66e6a38d0</errorID>
      <errorWord>(</errorWord>
      <group>L1_Format</group>
      <groupName>格式问题</groupName>
      <ability>L2_HalfPunc</ability>
      <abilityName>全半角检查</abilityName>
      <candidateList>
        <item>（</item>
      </candidateList>
      <explain>文本全半角错误。</explain>
      <paraID> 95A3DF3</paraID>
      <start>79</start>
      <end>80</end>
      <status>unmodified</status>
      <modifiedWord/>
      <trackRevisions>false</trackRevisions>
    </reviewItem>
    <reviewItem>
      <errorID>f0def8e6-f888-4e92-a29a-c81236bd6709</errorID>
      <errorWord>)</errorWord>
      <group>L1_Format</group>
      <groupName>格式问题</groupName>
      <ability>L2_HalfPunc</ability>
      <abilityName>全半角检查</abilityName>
      <candidateList>
        <item>）</item>
      </candidateList>
      <explain>文本全半角错误。</explain>
      <paraID> 95A3DF3</paraID>
      <start>86</start>
      <end>87</end>
      <status>unmodified</status>
      <modifiedWord/>
      <trackRevisions>false</trackRevisions>
    </reviewItem>
    <reviewItem>
      <errorID>022dbbaa-aeec-40a3-aa94-e8c64136182a</errorID>
      <errorWord>超</errorWord>
      <group>L1_Word</group>
      <groupName>字词问题</groupName>
      <ability>L2_Typo</ability>
      <abilityName>字词错误</abilityName>
      <candidateList>
        <item>超过</item>
      </candidateList>
      <explain/>
      <paraID>245A4540</paraID>
      <start>87</start>
      <end>88</end>
      <status>unmodified</status>
      <modifiedWord/>
      <trackRevisions>false</trackRevisions>
    </reviewItem>
    <reviewItem>
      <errorID>82e004f3-3360-4f00-bf3e-ce29db07be86</errorID>
      <errorWord>即时</errorWord>
      <group>L1_Word</group>
      <groupName>字词问题</groupName>
      <ability>L2_Typo</ability>
      <abilityName>字词错误</abilityName>
      <candidateList>
        <item>及时</item>
      </candidateList>
      <explain>存在发音相同字词的误用。</explain>
      <paraID>70F34ABD</paraID>
      <start>66</start>
      <end>70</end>
      <status>modified</status>
      <modifiedWord>及时</modifiedWord>
      <trackRevisions>true</trackRevisions>
    </reviewItem>
    <reviewItem>
      <errorID>642e9511-2233-4ac1-8201-392ce4015266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3DC9C8F3</paraID>
      <start>0</start>
      <end>3</end>
      <status>unmodified</status>
      <modifiedWord/>
      <trackRevisions>false</trackRevisions>
    </reviewItem>
    <reviewItem>
      <errorID>790d9921-6df1-4d72-80d5-b5b891adf42b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493501EC</paraID>
      <start>0</start>
      <end>3</end>
      <status>unmodified</status>
      <modifiedWord/>
      <trackRevisions>false</trackRevisions>
    </reviewItem>
    <reviewItem>
      <errorID>05dc84c2-d49c-43c5-b7ec-9d7e09687eff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4F935269</paraID>
      <start>0</start>
      <end>3</end>
      <status>unmodified</status>
      <modifiedWord/>
      <trackRevisions>false</trackRevisions>
    </reviewItem>
    <reviewItem>
      <errorID>2dc167c6-788a-45a2-91d1-5764fc0d2fc6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29C8E9C3</paraID>
      <start>0</start>
      <end>3</end>
      <status>unmodified</status>
      <modifiedWord/>
      <trackRevisions>false</trackRevisions>
    </reviewItem>
    <reviewItem>
      <errorID>6b079dc1-4831-458f-9083-8d9d40f54f53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7A9202C0</paraID>
      <start>0</start>
      <end>3</end>
      <status>unmodified</status>
      <modifiedWord/>
      <trackRevisions>false</trackRevisions>
    </reviewItem>
    <reviewItem>
      <errorID>dc2d7ac4-55e9-4b02-9c84-8fca7945065e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75419135</paraID>
      <start>0</start>
      <end>3</end>
      <status>unmodified</status>
      <modifiedWord/>
      <trackRevisions>false</trackRevisions>
    </reviewItem>
    <reviewItem>
      <errorID>86a92343-3ffd-4bfe-b2a8-32ad1a397e18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3DF13202</paraID>
      <start>0</start>
      <end>3</end>
      <status>unmodified</status>
      <modifiedWord/>
      <trackRevisions>false</trackRevisions>
    </reviewItem>
    <reviewItem>
      <errorID>a6a5c670-780d-45b4-ba1b-f99177c46b48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633AE93</paraID>
      <start>0</start>
      <end>3</end>
      <status>unmodified</status>
      <modifiedWord/>
      <trackRevisions>false</trackRevisions>
    </reviewItem>
    <reviewItem>
      <errorID>5526bbc3-bb8d-4368-814d-03fb97143f87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78458EAB</paraID>
      <start>0</start>
      <end>3</end>
      <status>unmodified</status>
      <modifiedWord/>
      <trackRevisions>false</trackRevisions>
    </reviewItem>
    <reviewItem>
      <errorID>3c88a2a1-7b7a-4be6-a24d-07b68cf776b7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6DE3417C</paraID>
      <start>0</start>
      <end>4</end>
      <status>unmodified</status>
      <modifiedWord/>
      <trackRevisions>false</trackRevisions>
    </reviewItem>
    <reviewItem>
      <errorID>3ba1902d-4313-4e92-82cc-923635ae6716</errorID>
      <errorWord>（</errorWord>
      <group>L1_Punc</group>
      <groupName>标点问题</groupName>
      <ability>L2_Punc</ability>
      <abilityName>标点符号检查</abilityName>
      <candidateList/>
      <explain>同一形式括号套用。</explain>
      <paraID>470C8520</paraID>
      <start>235</start>
      <end>236</end>
      <status>unmodified</status>
      <modifiedWord/>
      <trackRevisions>false</trackRevisions>
    </reviewItem>
    <reviewItem>
      <errorID>d3623d76-f59a-4ff3-a5c1-4a45bb65e1db</errorID>
      <errorWord>）</errorWord>
      <group>L1_Punc</group>
      <groupName>标点问题</groupName>
      <ability>L2_Punc</ability>
      <abilityName>标点符号检查</abilityName>
      <candidateList/>
      <explain>同一形式括号套用。</explain>
      <paraID>470C8520</paraID>
      <start>261</start>
      <end>262</end>
      <status>unmodified</status>
      <modifiedWord/>
      <trackRevisions>false</trackRevisions>
    </reviewItem>
    <reviewItem>
      <errorID>924aa73d-101b-481f-b960-6eac0063526a</errorID>
      <errorWord>（</errorWord>
      <group>L1_Punc</group>
      <groupName>标点问题</groupName>
      <ability>L2_Punc</ability>
      <abilityName>标点符号检查</abilityName>
      <candidateList/>
      <explain>同一形式括号套用。</explain>
      <paraID>470C8520</paraID>
      <start>269</start>
      <end>270</end>
      <status>unmodified</status>
      <modifiedWord/>
      <trackRevisions>false</trackRevisions>
    </reviewItem>
    <reviewItem>
      <errorID>cdf17b25-016a-48e7-b28a-1030273b0dbf</errorID>
      <errorWord>/）</errorWord>
      <group>L1_Punc</group>
      <groupName>标点问题</groupName>
      <ability>L2_Punc</ability>
      <abilityName>标点符号检查</abilityName>
      <candidateList>
        <item>）</item>
      </candidateList>
      <explain/>
      <paraID>470C8520</paraID>
      <start>294</start>
      <end>296</end>
      <status>unmodified</status>
      <modifiedWord/>
      <trackRevisions>false</trackRevisions>
    </reviewItem>
    <reviewItem>
      <errorID>448b8f45-b1db-461b-9444-3ff5d784e470</errorID>
      <errorWord>（</errorWord>
      <group>L1_Punc</group>
      <groupName>标点问题</groupName>
      <ability>L2_Punc</ability>
      <abilityName>标点符号检查</abilityName>
      <candidateList/>
      <explain>同一形式括号套用。</explain>
      <paraID>470C8520</paraID>
      <start>302</start>
      <end>303</end>
      <status>unmodified</status>
      <modifiedWord/>
      <trackRevisions>false</trackRevisions>
    </reviewItem>
    <reviewItem>
      <errorID>1ed7b7a1-cc66-4571-b7bb-b3a882d8b89c</errorID>
      <errorWord>）</errorWord>
      <group>L1_Punc</group>
      <groupName>标点问题</groupName>
      <ability>L2_Punc</ability>
      <abilityName>标点符号检查</abilityName>
      <candidateList/>
      <explain>同一形式括号套用。</explain>
      <paraID>470C8520</paraID>
      <start>334</start>
      <end>335</end>
      <status>unmodified</status>
      <modifiedWord/>
      <trackRevisions>false</trackRevisions>
    </reviewItem>
    <reviewItem>
      <errorID>4fecdfb3-035f-42cb-bc9e-df70913312a1</errorID>
      <errorWord>:</errorWord>
      <group>L1_Format</group>
      <groupName>格式问题</groupName>
      <ability>L2_HalfPunc</ability>
      <abilityName>全半角检查</abilityName>
      <candidateList>
        <item>：</item>
      </candidateList>
      <explain>文本全半角错误。</explain>
      <paraID>344C8DC0</paraID>
      <start>6</start>
      <end>7</end>
      <status>unmodified</status>
      <modifiedWord/>
      <trackRevisions>false</trackRevisions>
    </reviewItem>
    <reviewItem>
      <errorID>08e591e3-3ebb-4377-a34f-f30163c59294</errorID>
      <errorWord>:</errorWord>
      <group>L1_Format</group>
      <groupName>格式问题</groupName>
      <ability>L2_HalfPunc</ability>
      <abilityName>全半角检查</abilityName>
      <candidateList>
        <item>：</item>
      </candidateList>
      <explain>文本全半角错误。</explain>
      <paraID>3CD2BE62</paraID>
      <start>6</start>
      <end>7</end>
      <status>unmodified</status>
      <modifiedWord/>
      <trackRevisions>false</trackRevisions>
    </reviewItem>
    <reviewItem>
      <errorID>8ff66a23-b22a-4e8e-be2f-9ff689736d1a</errorID>
      <errorWord>:</errorWord>
      <group>L1_Format</group>
      <groupName>格式问题</groupName>
      <ability>L2_HalfPunc</ability>
      <abilityName>全半角检查</abilityName>
      <candidateList>
        <item>：</item>
      </candidateList>
      <explain>文本全半角错误。</explain>
      <paraID>71CAB6B8</paraID>
      <start>15</start>
      <end>16</end>
      <status>unmodified</status>
      <modifiedWord/>
      <trackRevisions>false</trackRevisions>
    </reviewItem>
    <reviewItem>
      <errorID>1751a8a8-b1dd-467a-bab3-327c9fe2ccc8</errorID>
      <errorWord>中华人民共和国政府采购实施条例</errorWord>
      <group>L1_Knowledge</group>
      <groupName>知识性问题</groupName>
      <ability>L2_Knowledge</ability>
      <abilityName>其他知识</abilityName>
      <candidateList>
        <item>中华人民共和国政府采购法实施条例</item>
      </candidateList>
      <explain>当前法律法规未收录或尚未生效，注意核查是否正确。</explain>
      <paraID> FD55EAD</paraID>
      <start>77</start>
      <end>92</end>
      <status>unmodified</status>
      <modifiedWord/>
      <trackRevisions>false</trackRevisions>
    </reviewItem>
    <reviewItem>
      <errorID>6b072593-b578-46a1-ab00-96cc92d23fd2</errorID>
      <errorWord>:</errorWord>
      <group>L1_Format</group>
      <groupName>格式问题</groupName>
      <ability>L2_HalfPunc</ability>
      <abilityName>全半角检查</abilityName>
      <candidateList>
        <item>：</item>
      </candidateList>
      <explain>文本全半角错误。</explain>
      <paraID>2400609F</paraID>
      <start>6</start>
      <end>7</end>
      <status>unmodified</status>
      <modifiedWord/>
      <trackRevisions>false</trackRevisions>
    </reviewItem>
    <reviewItem>
      <errorID>52ea2252-55d4-421d-834b-1c0032a05248</errorID>
      <errorWord>:</errorWord>
      <group>L1_Format</group>
      <groupName>格式问题</groupName>
      <ability>L2_HalfPunc</ability>
      <abilityName>全半角检查</abilityName>
      <candidateList>
        <item>：</item>
      </candidateList>
      <explain>文本全半角错误。</explain>
      <paraID>194CF8AF</paraID>
      <start>6</start>
      <end>7</end>
      <status>unmodified</status>
      <modifiedWord/>
      <trackRevisions>false</trackRevisions>
    </reviewItem>
    <reviewItem>
      <errorID>8ab66cbf-31b9-45e8-9719-2833c46a7c14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15C2D0E9</paraID>
      <start>0</start>
      <end>2</end>
      <status>unmodified</status>
      <modifiedWord/>
      <trackRevisions>false</trackRevisions>
    </reviewItem>
    <reviewItem>
      <errorID>31d4f96e-0c8d-41eb-beb4-2a62cbfd0537</errorID>
      <errorWord>:</errorWord>
      <group>L1_Format</group>
      <groupName>格式问题</groupName>
      <ability>L2_HalfPunc</ability>
      <abilityName>全半角检查</abilityName>
      <candidateList>
        <item>：</item>
      </candidateList>
      <explain>文本全半角错误。</explain>
      <paraID>15FBFAC8</paraID>
      <start>15</start>
      <end>16</end>
      <status>unmodified</status>
      <modifiedWord/>
      <trackRevisions>false</trackRevisions>
    </reviewItem>
    <reviewItem>
      <errorID>2f32f9b7-da94-4260-b947-5e140b74cf66</errorID>
      <errorWord>法律、法规</errorWord>
      <group>L1_Word</group>
      <groupName>字词问题</groupName>
      <ability>L2_Typo</ability>
      <abilityName>字词错误</abilityName>
      <candidateList>
        <item>法律法规</item>
      </candidateList>
      <explain/>
      <paraID>652CB873</paraID>
      <start>59</start>
      <end>64</end>
      <status>unmodified</status>
      <modifiedWord/>
      <trackRevisions>false</trackRevisions>
    </reviewItem>
    <reviewItem>
      <errorID>54ec496e-4bb5-4298-9fc5-06a53b559f6c</errorID>
      <errorWord>:</errorWord>
      <group>L1_Format</group>
      <groupName>格式问题</groupName>
      <ability>L2_HalfPunc</ability>
      <abilityName>全半角检查</abilityName>
      <candidateList>
        <item>：</item>
      </candidateList>
      <explain>文本全半角错误。</explain>
      <paraID>3AA66A30</paraID>
      <start>17</start>
      <end>18</end>
      <status>unmodified</status>
      <modifiedWord/>
      <trackRevisions>false</trackRevisions>
    </reviewItem>
    <reviewItem>
      <errorID>e6541c58-deb4-467a-a032-34df25cc4cdd</errorID>
      <errorWord>一类</errorWord>
      <group>L1_Knowledge</group>
      <groupName>知识性问题</groupName>
      <ability>L2_Knowledge</ability>
      <abilityName>其他知识</abilityName>
      <candidateList>
        <item>一项</item>
      </candidateList>
      <explain/>
      <paraID> 36D87FE</paraID>
      <start>35</start>
      <end>37</end>
      <status>unmodified</status>
      <modifiedWord/>
      <trackRevisions>false</trackRevisions>
    </reviewItem>
    <reviewItem>
      <errorID>c7173eb5-4a5a-40d5-bcea-7463c90e3f67</errorID>
      <errorWord>：/</errorWord>
      <group>L1_Punc</group>
      <groupName>标点问题</groupName>
      <ability>L2_Punc</ability>
      <abilityName>标点符号检查</abilityName>
      <candidateList>
        <item>：</item>
      </candidateList>
      <explain/>
      <paraID>653B7FF9</paraID>
      <start>4</start>
      <end>6</end>
      <status>unmodified</status>
      <modifiedWord/>
      <trackRevisions>false</trackRevisions>
    </reviewItem>
    <reviewItem>
      <errorID>9fdbc1f4-91bd-4323-abd7-d7ddaf79eaf1</errorID>
      <errorWord>:</errorWord>
      <group>L1_Format</group>
      <groupName>格式问题</groupName>
      <ability>L2_HalfPunc</ability>
      <abilityName>全半角检查</abilityName>
      <candidateList>
        <item>：</item>
      </candidateList>
      <explain>文本全半角错误。</explain>
      <paraID>264C1017</paraID>
      <start>15</start>
      <end>16</end>
      <status>unmodified</status>
      <modifiedWord/>
      <trackRevisions>false</trackRevisions>
    </reviewItem>
    <reviewItem>
      <errorID>a7bdf846-7fc9-4ca6-ad8b-0b0f1954d542</errorID>
      <errorWord>预</errorWord>
      <group>L1_Word</group>
      <groupName>字词问题</groupName>
      <ability>L2_Typo</ability>
      <abilityName>字词错误</abilityName>
      <candidateList>
        <item>预算</item>
      </candidateList>
      <explain/>
      <paraID>48302D4A</paraID>
      <start>38</start>
      <end>39</end>
      <status>unmodified</status>
      <modifiedWord/>
      <trackRevisions>false</trackRevisions>
    </reviewItem>
    <reviewItem>
      <errorID>8c13da11-104c-4027-9327-9d3603f8e9a2</errorID>
      <errorWord>做</errorWord>
      <group>L1_Word</group>
      <groupName>字词问题</groupName>
      <ability>L2_Typo</ability>
      <abilityName>字词错误</abilityName>
      <candidateList>
        <item>作</item>
      </candidateList>
      <explain>存在发音相同字词的误用。</explain>
      <paraID>404CBDFE</paraID>
      <start>39</start>
      <end>40</end>
      <status>unmodified</status>
      <modifiedWord/>
      <trackRevisions>false</trackRevisions>
    </reviewItem>
    <reviewItem>
      <errorID>2a43cb3a-f393-4a82-8dcc-ce59510487f7</errorID>
      <errorWord>中止</errorWord>
      <group>L1_Word</group>
      <groupName>字词问题</groupName>
      <ability>L2_Typo</ability>
      <abilityName>字词错误</abilityName>
      <candidateList>
        <item>终止</item>
      </candidateList>
      <explain/>
      <paraID>7975118D</paraID>
      <start>103</start>
      <end>105</end>
      <status>unmodified</status>
      <modifiedWord/>
      <trackRevisions>false</trackRevisions>
    </reviewItem>
    <reviewItem>
      <errorID>a22f0189-6e1b-49e4-9a18-30c2254d074c</errorID>
      <errorWord>法律、法规</errorWord>
      <group>L1_Word</group>
      <groupName>字词问题</groupName>
      <ability>L2_Typo</ability>
      <abilityName>字词错误</abilityName>
      <candidateList>
        <item>法律法规</item>
      </candidateList>
      <explain/>
      <paraID>72B4C6F9</paraID>
      <start>36</start>
      <end>41</end>
      <status>unmodified</status>
      <modifiedWord/>
      <trackRevisions>false</trackRevisions>
    </reviewItem>
    <reviewItem>
      <errorID>6447d277-ecf9-43e5-a320-6223f61d6221</errorID>
      <errorWord>很好</errorWord>
      <group>L1_Word</group>
      <groupName>字词问题</groupName>
      <ability>L2_Typo</ability>
      <abilityName>字词错误</abilityName>
      <candidateList>
        <item>很</item>
      </candidateList>
      <explain/>
      <paraID>1D74423B</paraID>
      <start>79</start>
      <end>81</end>
      <status>unmodified</status>
      <modifiedWord/>
      <trackRevisions>false</trackRevisions>
    </reviewItem>
    <reviewItem>
      <errorID>792111a0-890f-4522-be15-ac4b7a33d750</errorID>
      <errorWord>:</errorWord>
      <group>L1_Format</group>
      <groupName>格式问题</groupName>
      <ability>L2_HalfPunc</ability>
      <abilityName>全半角检查</abilityName>
      <candidateList>
        <item>：</item>
      </candidateList>
      <explain>文本全半角错误。</explain>
      <paraID>60D36EB2</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e56c81-30e5-421d-abcc-5027e5915ff3}">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18485</Words>
  <Characters>19631</Characters>
  <Lines>0</Lines>
  <Paragraphs>0</Paragraphs>
  <TotalTime>47</TotalTime>
  <ScaleCrop>false</ScaleCrop>
  <LinksUpToDate>false</LinksUpToDate>
  <CharactersWithSpaces>19781</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2023-08-31T00:09:00Z</dcterms:created>
  <dc:creator>办公小助手</dc:creator>
  <cp:lastModifiedBy>admin</cp:lastModifiedBy>
  <cp:lastPrinted>2025-12-05T18:08:00Z</cp:lastPrinted>
  <dcterms:modified xsi:type="dcterms:W3CDTF">2025-12-08T16:39:19Z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2191494A49C7C0B4AD6136690E75F39F_43</vt:lpwstr>
  </property>
  <property fmtid="{D5CDD505-2E9C-101B-9397-08002B2CF9AE}" pid="4" name="KSOTemplateDocerSaveRecord">
    <vt:lpwstr>eyJoZGlkIjoiMDU5NDFjMGI2OWFlOWYwMDAwMzJmMjk0Y2I3ZGIxZWUiLCJ1c2VySWQiOiIyNDU0OTg2MjIifQ==</vt:lpwstr>
  </property>
</Properties>
</file>