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A9BA">
      <w:pPr>
        <w:jc w:val="center"/>
        <w:rPr>
          <w:rFonts w:hint="eastAsia" w:ascii="华文新魏" w:hAnsi="宋体" w:eastAsia="华文新魏"/>
          <w:color w:val="auto"/>
          <w:sz w:val="52"/>
          <w:szCs w:val="52"/>
          <w:highlight w:val="none"/>
        </w:rPr>
      </w:pPr>
      <w:r>
        <w:rPr>
          <w:rFonts w:hint="eastAsia" w:ascii="宋体" w:hAnsi="宋体" w:eastAsia="宋体" w:cs="宋体"/>
          <w:color w:val="auto"/>
          <w:sz w:val="84"/>
          <w:szCs w:val="84"/>
          <w:highlight w:val="none"/>
        </w:rPr>
        <w:t>广西国力招标有限公司</w:t>
      </w:r>
    </w:p>
    <w:p w14:paraId="4E19DC64">
      <w:pPr>
        <w:spacing w:before="156" w:beforeLines="50"/>
        <w:jc w:val="center"/>
        <w:rPr>
          <w:rFonts w:hint="eastAsia" w:ascii="楷体" w:hAnsi="楷体" w:eastAsia="楷体"/>
          <w:color w:val="auto"/>
          <w:sz w:val="48"/>
          <w:szCs w:val="48"/>
          <w:highlight w:val="none"/>
        </w:rPr>
      </w:pPr>
    </w:p>
    <w:p w14:paraId="52F3899D">
      <w:pP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214F095D">
      <w:pPr>
        <w:pStyle w:val="11"/>
        <w:snapToGrid w:val="0"/>
        <w:spacing w:before="120" w:after="120" w:line="360" w:lineRule="auto"/>
        <w:rPr>
          <w:rFonts w:hint="eastAsia" w:ascii="仿宋_GB2312" w:hAnsi="宋体" w:eastAsia="仿宋_GB2312"/>
          <w:b/>
          <w:bCs/>
          <w:color w:val="auto"/>
          <w:sz w:val="30"/>
          <w:szCs w:val="30"/>
          <w:highlight w:val="none"/>
        </w:rPr>
      </w:pPr>
    </w:p>
    <w:p w14:paraId="46C07B39">
      <w:pPr>
        <w:pStyle w:val="11"/>
        <w:snapToGrid w:val="0"/>
        <w:spacing w:before="120" w:after="120" w:line="360" w:lineRule="auto"/>
        <w:jc w:val="center"/>
        <w:rPr>
          <w:rFonts w:hint="eastAsia" w:ascii="仿宋_GB2312" w:hAnsi="宋体" w:eastAsia="仿宋_GB2312"/>
          <w:b/>
          <w:bCs/>
          <w:color w:val="auto"/>
          <w:sz w:val="30"/>
          <w:szCs w:val="30"/>
          <w:highlight w:val="none"/>
        </w:rPr>
      </w:pPr>
    </w:p>
    <w:p w14:paraId="5B028751">
      <w:pPr>
        <w:pStyle w:val="6"/>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0" distR="0">
            <wp:extent cx="2378075" cy="1691005"/>
            <wp:effectExtent l="0" t="0" r="3175" b="4445"/>
            <wp:docPr id="1026" name="图片 1" descr="logo"/>
            <wp:cNvGraphicFramePr/>
            <a:graphic xmlns:a="http://schemas.openxmlformats.org/drawingml/2006/main">
              <a:graphicData uri="http://schemas.openxmlformats.org/drawingml/2006/picture">
                <pic:pic xmlns:pic="http://schemas.openxmlformats.org/drawingml/2006/picture">
                  <pic:nvPicPr>
                    <pic:cNvPr id="1026" name="图片 1" descr="logo"/>
                    <pic:cNvPicPr/>
                  </pic:nvPicPr>
                  <pic:blipFill>
                    <a:blip r:embed="rId13" cstate="print"/>
                    <a:srcRect/>
                    <a:stretch>
                      <a:fillRect/>
                    </a:stretch>
                  </pic:blipFill>
                  <pic:spPr>
                    <a:xfrm>
                      <a:off x="0" y="0"/>
                      <a:ext cx="2378075" cy="1691005"/>
                    </a:xfrm>
                    <a:prstGeom prst="rect">
                      <a:avLst/>
                    </a:prstGeom>
                    <a:ln>
                      <a:noFill/>
                    </a:ln>
                  </pic:spPr>
                </pic:pic>
              </a:graphicData>
            </a:graphic>
          </wp:inline>
        </w:drawing>
      </w:r>
    </w:p>
    <w:p w14:paraId="42BE0580">
      <w:pPr>
        <w:rPr>
          <w:rFonts w:hint="eastAsia" w:ascii="仿宋_GB2312" w:hAnsi="宋体" w:eastAsia="仿宋_GB2312"/>
          <w:b/>
          <w:bCs/>
          <w:color w:val="auto"/>
          <w:sz w:val="30"/>
          <w:szCs w:val="30"/>
          <w:highlight w:val="none"/>
        </w:rPr>
      </w:pPr>
    </w:p>
    <w:p w14:paraId="467EE544">
      <w:pPr>
        <w:pStyle w:val="11"/>
        <w:snapToGrid w:val="0"/>
        <w:spacing w:before="120" w:after="120" w:line="500" w:lineRule="exact"/>
        <w:jc w:val="left"/>
        <w:rPr>
          <w:rFonts w:hint="eastAsia" w:hAnsi="宋体"/>
          <w:b/>
          <w:bCs/>
          <w:color w:val="auto"/>
          <w:sz w:val="32"/>
          <w:szCs w:val="36"/>
          <w:highlight w:val="none"/>
        </w:rPr>
      </w:pPr>
    </w:p>
    <w:p w14:paraId="1CC567C2">
      <w:pPr>
        <w:pStyle w:val="11"/>
        <w:keepNext w:val="0"/>
        <w:keepLines w:val="0"/>
        <w:pageBreakBefore w:val="0"/>
        <w:widowControl w:val="0"/>
        <w:kinsoku/>
        <w:wordWrap/>
        <w:overflowPunct/>
        <w:topLinePunct w:val="0"/>
        <w:autoSpaceDE/>
        <w:autoSpaceDN/>
        <w:bidi w:val="0"/>
        <w:adjustRightInd/>
        <w:snapToGrid w:val="0"/>
        <w:spacing w:before="120" w:after="120" w:line="600" w:lineRule="exact"/>
        <w:ind w:firstLine="0" w:firstLineChars="0"/>
        <w:jc w:val="center"/>
        <w:textAlignment w:val="auto"/>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GXGL2025S-C567-Z（2）</w:t>
      </w:r>
    </w:p>
    <w:p w14:paraId="2FFDC9D6">
      <w:pPr>
        <w:pStyle w:val="11"/>
        <w:keepNext w:val="0"/>
        <w:keepLines w:val="0"/>
        <w:pageBreakBefore w:val="0"/>
        <w:widowControl w:val="0"/>
        <w:kinsoku/>
        <w:wordWrap/>
        <w:overflowPunct/>
        <w:topLinePunct w:val="0"/>
        <w:autoSpaceDE/>
        <w:autoSpaceDN/>
        <w:bidi w:val="0"/>
        <w:adjustRightInd/>
        <w:snapToGrid w:val="0"/>
        <w:spacing w:before="120" w:after="120" w:line="500" w:lineRule="exact"/>
        <w:ind w:left="2418" w:leftChars="0" w:hanging="2418" w:hangingChars="669"/>
        <w:jc w:val="left"/>
        <w:textAlignment w:val="auto"/>
        <w:rPr>
          <w:rFonts w:ascii="Times New Roman" w:hAnsi="Times New Roman" w:cs="Times New Roman"/>
          <w:b/>
          <w:bCs/>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广西财经学院明秀校区总平规划调整和修建性详细规划项目（重）</w:t>
      </w:r>
    </w:p>
    <w:p w14:paraId="1A6E72D9">
      <w:pPr>
        <w:pBdr>
          <w:bottom w:val="thickThinSmallGap" w:color="auto" w:sz="24" w:space="1"/>
        </w:pBdr>
        <w:snapToGrid w:val="0"/>
        <w:spacing w:before="156" w:beforeLines="50" w:line="500" w:lineRule="exact"/>
        <w:jc w:val="left"/>
        <w:rPr>
          <w:rFonts w:hint="eastAsia" w:ascii="宋体" w:hAnsi="宋体"/>
          <w:b/>
          <w:color w:val="auto"/>
          <w:sz w:val="32"/>
          <w:szCs w:val="36"/>
          <w:highlight w:val="none"/>
        </w:rPr>
      </w:pPr>
    </w:p>
    <w:p w14:paraId="72DF1434">
      <w:pPr>
        <w:snapToGrid w:val="0"/>
        <w:spacing w:before="156" w:beforeLines="50" w:line="500" w:lineRule="exact"/>
        <w:ind w:firstLine="1807" w:firstLineChars="600"/>
        <w:rPr>
          <w:rFonts w:hint="eastAsia" w:ascii="宋体" w:hAnsi="宋体" w:eastAsia="宋体"/>
          <w:b/>
          <w:dstrike/>
          <w:color w:val="auto"/>
          <w:sz w:val="30"/>
          <w:szCs w:val="72"/>
          <w:highlight w:val="none"/>
          <w:lang w:eastAsia="zh-CN"/>
        </w:rPr>
      </w:pPr>
      <w:r>
        <w:rPr>
          <w:rFonts w:hint="eastAsia" w:ascii="宋体" w:hAnsi="宋体"/>
          <w:b/>
          <w:color w:val="auto"/>
          <w:sz w:val="30"/>
          <w:szCs w:val="72"/>
          <w:highlight w:val="none"/>
        </w:rPr>
        <w:t>采</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购</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人：</w:t>
      </w:r>
      <w:r>
        <w:rPr>
          <w:rFonts w:hint="eastAsia" w:ascii="宋体" w:hAnsi="宋体"/>
          <w:b/>
          <w:color w:val="auto"/>
          <w:sz w:val="30"/>
          <w:szCs w:val="72"/>
          <w:highlight w:val="none"/>
          <w:lang w:eastAsia="zh-CN"/>
        </w:rPr>
        <w:t>广西财经学院</w:t>
      </w:r>
    </w:p>
    <w:p w14:paraId="7F562868">
      <w:pPr>
        <w:snapToGrid w:val="0"/>
        <w:spacing w:before="156" w:beforeLines="50" w:line="500" w:lineRule="exact"/>
        <w:ind w:firstLine="1807" w:firstLineChars="600"/>
        <w:jc w:val="left"/>
        <w:rPr>
          <w:rFonts w:hint="eastAsia" w:ascii="宋体" w:hAnsi="宋体" w:eastAsia="宋体"/>
          <w:b/>
          <w:color w:val="auto"/>
          <w:sz w:val="30"/>
          <w:szCs w:val="72"/>
          <w:highlight w:val="none"/>
          <w:lang w:eastAsia="zh-CN"/>
        </w:rPr>
      </w:pPr>
      <w:r>
        <w:rPr>
          <w:rFonts w:hint="eastAsia" w:ascii="宋体" w:hAnsi="宋体"/>
          <w:b/>
          <w:color w:val="auto"/>
          <w:sz w:val="30"/>
          <w:szCs w:val="72"/>
          <w:highlight w:val="none"/>
        </w:rPr>
        <w:t>采购代理机构：广西国力招标有限公司</w:t>
      </w:r>
    </w:p>
    <w:p w14:paraId="1B4C3F21">
      <w:pP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w:t>
      </w:r>
      <w:r>
        <w:rPr>
          <w:rFonts w:hint="eastAsia" w:ascii="宋体" w:hAnsi="宋体"/>
          <w:b/>
          <w:color w:val="auto"/>
          <w:sz w:val="30"/>
          <w:szCs w:val="72"/>
          <w:highlight w:val="none"/>
          <w:lang w:val="en-US" w:eastAsia="zh-CN"/>
        </w:rPr>
        <w:t>5</w:t>
      </w:r>
      <w:r>
        <w:rPr>
          <w:rFonts w:hint="eastAsia" w:ascii="宋体" w:hAnsi="宋体"/>
          <w:b/>
          <w:color w:val="auto"/>
          <w:sz w:val="30"/>
          <w:szCs w:val="72"/>
          <w:highlight w:val="none"/>
          <w:lang w:eastAsia="zh-CN"/>
        </w:rPr>
        <w:t>年</w:t>
      </w:r>
      <w:r>
        <w:rPr>
          <w:rFonts w:hint="eastAsia" w:ascii="宋体" w:hAnsi="宋体"/>
          <w:b/>
          <w:color w:val="auto"/>
          <w:sz w:val="30"/>
          <w:szCs w:val="72"/>
          <w:highlight w:val="none"/>
          <w:lang w:val="en-US" w:eastAsia="zh-CN"/>
        </w:rPr>
        <w:t>11月</w:t>
      </w:r>
    </w:p>
    <w:p w14:paraId="449207A2">
      <w:pPr>
        <w:jc w:val="center"/>
        <w:rPr>
          <w:rFonts w:ascii="仿宋_GB2312" w:hAnsi="宋体" w:eastAsia="仿宋_GB2312"/>
          <w:b/>
          <w:color w:val="auto"/>
          <w:sz w:val="32"/>
          <w:szCs w:val="32"/>
          <w:highlight w:val="none"/>
        </w:rPr>
        <w:sectPr>
          <w:headerReference r:id="rId3" w:type="default"/>
          <w:pgSz w:w="11905" w:h="16838"/>
          <w:pgMar w:top="1134" w:right="1134" w:bottom="1134" w:left="1134" w:header="851" w:footer="992" w:gutter="0"/>
          <w:pgNumType w:fmt="decimal"/>
          <w:cols w:space="0" w:num="1"/>
          <w:titlePg/>
          <w:rtlGutter w:val="0"/>
          <w:docGrid w:type="lines" w:linePitch="312" w:charSpace="0"/>
        </w:sectPr>
      </w:pPr>
    </w:p>
    <w:p w14:paraId="01FABD49">
      <w:pP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t xml:space="preserve"> </w:t>
      </w:r>
    </w:p>
    <w:p w14:paraId="259B098A">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2CB7E66">
      <w:pPr>
        <w:spacing w:line="360" w:lineRule="auto"/>
        <w:jc w:val="center"/>
        <w:rPr>
          <w:rFonts w:hint="eastAsia" w:ascii="宋体" w:hAnsi="宋体"/>
          <w:b/>
          <w:color w:val="auto"/>
          <w:sz w:val="44"/>
          <w:szCs w:val="44"/>
          <w:highlight w:val="none"/>
        </w:rPr>
      </w:pPr>
    </w:p>
    <w:p w14:paraId="5B7584CD">
      <w:pPr>
        <w:pStyle w:val="14"/>
        <w:tabs>
          <w:tab w:val="right" w:leader="dot" w:pos="9628"/>
        </w:tabs>
        <w:spacing w:line="360" w:lineRule="auto"/>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第一章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竞争性磋商</w:t>
      </w:r>
      <w:bookmarkStart w:id="0" w:name="_Hlt43300494"/>
      <w:r>
        <w:rPr>
          <w:rStyle w:val="24"/>
          <w:rFonts w:hint="eastAsia" w:ascii="宋体" w:hAnsi="宋体"/>
          <w:color w:val="auto"/>
          <w:sz w:val="32"/>
          <w:szCs w:val="32"/>
          <w:highlight w:val="none"/>
        </w:rPr>
        <w:t>公</w:t>
      </w:r>
      <w:bookmarkEnd w:id="0"/>
      <w:r>
        <w:rPr>
          <w:rStyle w:val="24"/>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131FF1C">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第二章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1BFF8CF">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第三章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采购</w:t>
      </w:r>
      <w:bookmarkStart w:id="3" w:name="_Hlt496918402"/>
      <w:bookmarkStart w:id="4" w:name="_Hlt496918403"/>
      <w:r>
        <w:rPr>
          <w:rStyle w:val="24"/>
          <w:rFonts w:hint="eastAsia" w:ascii="宋体" w:hAnsi="宋体"/>
          <w:color w:val="auto"/>
          <w:sz w:val="32"/>
          <w:szCs w:val="32"/>
          <w:highlight w:val="none"/>
        </w:rPr>
        <w:t>需</w:t>
      </w:r>
      <w:bookmarkEnd w:id="3"/>
      <w:bookmarkEnd w:id="4"/>
      <w:bookmarkStart w:id="5" w:name="_Hlt476673918"/>
      <w:bookmarkStart w:id="6" w:name="_Hlt476673919"/>
      <w:r>
        <w:rPr>
          <w:rStyle w:val="24"/>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16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5A0D158">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第四章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20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B0184D7">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kern w:val="0"/>
          <w:sz w:val="32"/>
          <w:szCs w:val="32"/>
          <w:highlight w:val="none"/>
        </w:rPr>
        <w:t>第五章</w:t>
      </w:r>
      <w:r>
        <w:rPr>
          <w:rStyle w:val="24"/>
          <w:rFonts w:ascii="宋体" w:hAnsi="宋体"/>
          <w:color w:val="auto"/>
          <w:kern w:val="0"/>
          <w:sz w:val="32"/>
          <w:szCs w:val="32"/>
          <w:highlight w:val="none"/>
        </w:rPr>
        <w:t xml:space="preserve">  </w:t>
      </w:r>
      <w:r>
        <w:rPr>
          <w:rStyle w:val="24"/>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29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BBE10DB">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kern w:val="0"/>
          <w:sz w:val="32"/>
          <w:szCs w:val="32"/>
          <w:highlight w:val="none"/>
        </w:rPr>
        <w:t>第六章</w:t>
      </w:r>
      <w:r>
        <w:rPr>
          <w:rStyle w:val="24"/>
          <w:rFonts w:ascii="宋体" w:hAnsi="宋体"/>
          <w:color w:val="auto"/>
          <w:kern w:val="0"/>
          <w:sz w:val="32"/>
          <w:szCs w:val="32"/>
          <w:highlight w:val="none"/>
        </w:rPr>
        <w:t xml:space="preserve">  </w:t>
      </w:r>
      <w:r>
        <w:rPr>
          <w:rStyle w:val="24"/>
          <w:rFonts w:hint="eastAsia" w:ascii="宋体" w:hAnsi="宋体"/>
          <w:color w:val="auto"/>
          <w:kern w:val="0"/>
          <w:sz w:val="32"/>
          <w:szCs w:val="32"/>
          <w:highlight w:val="none"/>
        </w:rPr>
        <w:t>评标标</w:t>
      </w:r>
      <w:bookmarkStart w:id="7" w:name="_Hlt514850010"/>
      <w:bookmarkStart w:id="8" w:name="_Hlt514850011"/>
      <w:r>
        <w:rPr>
          <w:rStyle w:val="24"/>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37</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49172EFE">
      <w:pPr>
        <w:spacing w:line="360" w:lineRule="auto"/>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4EE7C309">
      <w:pPr>
        <w:spacing w:line="400" w:lineRule="exact"/>
        <w:jc w:val="center"/>
        <w:rPr>
          <w:rFonts w:hint="eastAsia" w:ascii="仿宋_GB2312" w:hAnsi="宋体" w:eastAsia="仿宋_GB2312"/>
          <w:b/>
          <w:color w:val="auto"/>
          <w:sz w:val="32"/>
          <w:szCs w:val="32"/>
          <w:highlight w:val="none"/>
        </w:rPr>
      </w:pPr>
    </w:p>
    <w:p w14:paraId="1DC481B5">
      <w:pPr>
        <w:spacing w:line="400" w:lineRule="exact"/>
        <w:jc w:val="center"/>
        <w:rPr>
          <w:rFonts w:hint="eastAsia" w:ascii="仿宋_GB2312" w:hAnsi="宋体" w:eastAsia="仿宋_GB2312"/>
          <w:b/>
          <w:color w:val="auto"/>
          <w:sz w:val="32"/>
          <w:szCs w:val="32"/>
          <w:highlight w:val="none"/>
        </w:rPr>
      </w:pPr>
    </w:p>
    <w:p w14:paraId="1428CE7A">
      <w:pPr>
        <w:spacing w:line="400" w:lineRule="exact"/>
        <w:jc w:val="center"/>
        <w:rPr>
          <w:rFonts w:hint="eastAsia" w:ascii="仿宋_GB2312" w:hAnsi="宋体" w:eastAsia="仿宋_GB2312"/>
          <w:b/>
          <w:color w:val="auto"/>
          <w:sz w:val="32"/>
          <w:szCs w:val="32"/>
          <w:highlight w:val="none"/>
        </w:rPr>
      </w:pPr>
    </w:p>
    <w:p w14:paraId="445A8903">
      <w:pPr>
        <w:spacing w:line="400" w:lineRule="exact"/>
        <w:jc w:val="center"/>
        <w:rPr>
          <w:rFonts w:hint="eastAsia" w:ascii="仿宋_GB2312" w:hAnsi="宋体" w:eastAsia="仿宋_GB2312"/>
          <w:b/>
          <w:color w:val="auto"/>
          <w:sz w:val="32"/>
          <w:szCs w:val="32"/>
          <w:highlight w:val="none"/>
        </w:rPr>
      </w:pPr>
    </w:p>
    <w:p w14:paraId="50E62323">
      <w:pPr>
        <w:spacing w:line="400" w:lineRule="exact"/>
        <w:jc w:val="center"/>
        <w:rPr>
          <w:rFonts w:hint="eastAsia" w:ascii="仿宋_GB2312" w:hAnsi="宋体" w:eastAsia="仿宋_GB2312"/>
          <w:b/>
          <w:color w:val="auto"/>
          <w:sz w:val="32"/>
          <w:szCs w:val="32"/>
          <w:highlight w:val="none"/>
        </w:rPr>
      </w:pPr>
    </w:p>
    <w:p w14:paraId="3DFE0B50">
      <w:pPr>
        <w:spacing w:line="400" w:lineRule="exact"/>
        <w:jc w:val="center"/>
        <w:rPr>
          <w:rFonts w:hint="eastAsia" w:ascii="仿宋_GB2312" w:hAnsi="宋体" w:eastAsia="仿宋_GB2312"/>
          <w:b/>
          <w:color w:val="auto"/>
          <w:sz w:val="32"/>
          <w:szCs w:val="32"/>
          <w:highlight w:val="none"/>
        </w:rPr>
      </w:pPr>
    </w:p>
    <w:p w14:paraId="2F353E84">
      <w:pPr>
        <w:spacing w:line="400" w:lineRule="exact"/>
        <w:jc w:val="center"/>
        <w:rPr>
          <w:rFonts w:hint="eastAsia" w:ascii="仿宋_GB2312" w:hAnsi="宋体" w:eastAsia="仿宋_GB2312"/>
          <w:b/>
          <w:color w:val="auto"/>
          <w:sz w:val="32"/>
          <w:szCs w:val="32"/>
          <w:highlight w:val="none"/>
        </w:rPr>
      </w:pPr>
    </w:p>
    <w:p w14:paraId="0F8FBC77">
      <w:pPr>
        <w:spacing w:line="400" w:lineRule="exact"/>
        <w:jc w:val="center"/>
        <w:rPr>
          <w:rFonts w:hint="eastAsia" w:ascii="仿宋_GB2312" w:hAnsi="宋体" w:eastAsia="仿宋_GB2312"/>
          <w:b/>
          <w:color w:val="auto"/>
          <w:sz w:val="32"/>
          <w:szCs w:val="32"/>
          <w:highlight w:val="none"/>
        </w:rPr>
      </w:pPr>
    </w:p>
    <w:p w14:paraId="7766C88D">
      <w:pPr>
        <w:spacing w:line="400" w:lineRule="exact"/>
        <w:jc w:val="center"/>
        <w:rPr>
          <w:rFonts w:hint="eastAsia" w:ascii="仿宋_GB2312" w:hAnsi="宋体" w:eastAsia="仿宋_GB2312"/>
          <w:b/>
          <w:color w:val="auto"/>
          <w:sz w:val="32"/>
          <w:szCs w:val="32"/>
          <w:highlight w:val="none"/>
        </w:rPr>
      </w:pPr>
    </w:p>
    <w:p w14:paraId="5BE49C47">
      <w:pPr>
        <w:spacing w:line="400" w:lineRule="exact"/>
        <w:jc w:val="center"/>
        <w:rPr>
          <w:rFonts w:hint="eastAsia" w:ascii="仿宋_GB2312" w:hAnsi="宋体" w:eastAsia="仿宋_GB2312"/>
          <w:b/>
          <w:color w:val="auto"/>
          <w:sz w:val="32"/>
          <w:szCs w:val="32"/>
          <w:highlight w:val="none"/>
        </w:rPr>
      </w:pPr>
    </w:p>
    <w:p w14:paraId="6F0E64E7">
      <w:pPr>
        <w:spacing w:line="400" w:lineRule="exact"/>
        <w:jc w:val="center"/>
        <w:rPr>
          <w:rFonts w:hint="eastAsia" w:ascii="仿宋_GB2312" w:hAnsi="宋体" w:eastAsia="仿宋_GB2312"/>
          <w:b/>
          <w:color w:val="auto"/>
          <w:sz w:val="32"/>
          <w:szCs w:val="32"/>
          <w:highlight w:val="none"/>
        </w:rPr>
      </w:pPr>
    </w:p>
    <w:p w14:paraId="48CB352F">
      <w:pPr>
        <w:spacing w:line="400" w:lineRule="exact"/>
        <w:jc w:val="center"/>
        <w:rPr>
          <w:rFonts w:hint="eastAsia" w:ascii="黑体" w:hAnsi="宋体" w:eastAsia="黑体"/>
          <w:b/>
          <w:color w:val="auto"/>
          <w:sz w:val="32"/>
          <w:szCs w:val="32"/>
          <w:highlight w:val="none"/>
        </w:rPr>
      </w:pPr>
    </w:p>
    <w:p w14:paraId="32C40AB7">
      <w:pPr>
        <w:spacing w:line="400" w:lineRule="exact"/>
        <w:jc w:val="center"/>
        <w:rPr>
          <w:rFonts w:hint="eastAsia" w:ascii="黑体" w:hAnsi="宋体" w:eastAsia="黑体"/>
          <w:b/>
          <w:color w:val="auto"/>
          <w:sz w:val="32"/>
          <w:szCs w:val="32"/>
          <w:highlight w:val="none"/>
        </w:rPr>
      </w:pPr>
    </w:p>
    <w:p w14:paraId="4DA756B2">
      <w:pPr>
        <w:spacing w:line="400" w:lineRule="exact"/>
        <w:jc w:val="center"/>
        <w:rPr>
          <w:rFonts w:hint="eastAsia" w:ascii="黑体" w:hAnsi="宋体" w:eastAsia="黑体"/>
          <w:b/>
          <w:color w:val="auto"/>
          <w:sz w:val="32"/>
          <w:szCs w:val="32"/>
          <w:highlight w:val="none"/>
        </w:rPr>
      </w:pPr>
    </w:p>
    <w:p w14:paraId="47753075">
      <w:pPr>
        <w:spacing w:line="400" w:lineRule="exact"/>
        <w:jc w:val="center"/>
        <w:rPr>
          <w:rFonts w:hint="eastAsia" w:ascii="黑体" w:hAnsi="宋体" w:eastAsia="黑体"/>
          <w:b/>
          <w:color w:val="auto"/>
          <w:sz w:val="32"/>
          <w:szCs w:val="32"/>
          <w:highlight w:val="none"/>
        </w:rPr>
      </w:pPr>
    </w:p>
    <w:p w14:paraId="30233B33">
      <w:pPr>
        <w:spacing w:line="400" w:lineRule="exact"/>
        <w:jc w:val="center"/>
        <w:rPr>
          <w:rFonts w:hint="eastAsia" w:ascii="黑体" w:hAnsi="宋体" w:eastAsia="黑体"/>
          <w:b/>
          <w:color w:val="auto"/>
          <w:sz w:val="32"/>
          <w:szCs w:val="32"/>
          <w:highlight w:val="none"/>
        </w:rPr>
      </w:pPr>
    </w:p>
    <w:p w14:paraId="5B362A57">
      <w:pPr>
        <w:spacing w:line="400" w:lineRule="exact"/>
        <w:jc w:val="center"/>
        <w:rPr>
          <w:rFonts w:hint="eastAsia" w:ascii="黑体" w:hAnsi="宋体" w:eastAsia="黑体"/>
          <w:b/>
          <w:color w:val="auto"/>
          <w:sz w:val="32"/>
          <w:szCs w:val="32"/>
          <w:highlight w:val="none"/>
        </w:rPr>
      </w:pPr>
    </w:p>
    <w:p w14:paraId="08140AED">
      <w:pPr>
        <w:spacing w:line="400" w:lineRule="exact"/>
        <w:jc w:val="center"/>
        <w:rPr>
          <w:rFonts w:hint="eastAsia" w:ascii="黑体" w:hAnsi="宋体" w:eastAsia="黑体"/>
          <w:b/>
          <w:color w:val="auto"/>
          <w:sz w:val="32"/>
          <w:szCs w:val="32"/>
          <w:highlight w:val="none"/>
        </w:rPr>
      </w:pPr>
    </w:p>
    <w:p w14:paraId="7E1CC0A3">
      <w:pPr>
        <w:spacing w:line="400" w:lineRule="exact"/>
        <w:jc w:val="center"/>
        <w:rPr>
          <w:rFonts w:hint="eastAsia" w:ascii="黑体" w:hAnsi="宋体" w:eastAsia="黑体"/>
          <w:b/>
          <w:color w:val="auto"/>
          <w:sz w:val="32"/>
          <w:szCs w:val="32"/>
          <w:highlight w:val="none"/>
        </w:rPr>
      </w:pPr>
    </w:p>
    <w:p w14:paraId="3E96772D">
      <w:pPr>
        <w:spacing w:line="400" w:lineRule="exact"/>
        <w:jc w:val="center"/>
        <w:rPr>
          <w:rFonts w:hint="eastAsia" w:ascii="黑体" w:hAnsi="宋体" w:eastAsia="黑体"/>
          <w:b/>
          <w:color w:val="auto"/>
          <w:sz w:val="32"/>
          <w:szCs w:val="32"/>
          <w:highlight w:val="none"/>
        </w:rPr>
      </w:pPr>
    </w:p>
    <w:p w14:paraId="0B990E31">
      <w:pPr>
        <w:spacing w:line="400" w:lineRule="exact"/>
        <w:jc w:val="center"/>
        <w:rPr>
          <w:rFonts w:hint="eastAsia" w:ascii="宋体" w:hAnsi="宋体"/>
          <w:b/>
          <w:color w:val="auto"/>
          <w:sz w:val="32"/>
          <w:szCs w:val="32"/>
          <w:highlight w:val="none"/>
        </w:rPr>
      </w:pPr>
    </w:p>
    <w:p w14:paraId="5BE00AF9">
      <w:pPr>
        <w:spacing w:line="400" w:lineRule="exact"/>
        <w:jc w:val="center"/>
        <w:rPr>
          <w:rFonts w:hint="eastAsia" w:ascii="宋体" w:hAnsi="宋体"/>
          <w:b/>
          <w:color w:val="auto"/>
          <w:sz w:val="32"/>
          <w:szCs w:val="32"/>
          <w:highlight w:val="none"/>
        </w:rPr>
      </w:pPr>
    </w:p>
    <w:p w14:paraId="3CAE7507">
      <w:pPr>
        <w:spacing w:line="400" w:lineRule="exact"/>
        <w:jc w:val="center"/>
        <w:rPr>
          <w:rFonts w:hint="eastAsia" w:ascii="宋体" w:hAnsi="宋体"/>
          <w:b/>
          <w:color w:val="auto"/>
          <w:sz w:val="32"/>
          <w:szCs w:val="32"/>
          <w:highlight w:val="none"/>
        </w:rPr>
      </w:pPr>
    </w:p>
    <w:p w14:paraId="4AC8AE56">
      <w:pPr>
        <w:spacing w:line="400" w:lineRule="exact"/>
        <w:jc w:val="center"/>
        <w:rPr>
          <w:rFonts w:hint="eastAsia" w:ascii="宋体" w:hAnsi="宋体"/>
          <w:b/>
          <w:color w:val="auto"/>
          <w:sz w:val="32"/>
          <w:szCs w:val="32"/>
          <w:highlight w:val="none"/>
        </w:rPr>
      </w:pPr>
    </w:p>
    <w:p w14:paraId="2E82CD29">
      <w:pPr>
        <w:spacing w:line="400" w:lineRule="exact"/>
        <w:jc w:val="center"/>
        <w:rPr>
          <w:rFonts w:hint="eastAsia" w:ascii="宋体" w:hAnsi="宋体"/>
          <w:b/>
          <w:color w:val="auto"/>
          <w:sz w:val="32"/>
          <w:szCs w:val="32"/>
          <w:highlight w:val="none"/>
        </w:rPr>
      </w:pPr>
    </w:p>
    <w:p w14:paraId="3FBF8ECE">
      <w:pPr>
        <w:spacing w:line="400" w:lineRule="exact"/>
        <w:jc w:val="center"/>
        <w:rPr>
          <w:rFonts w:hint="eastAsia" w:ascii="宋体" w:hAnsi="宋体"/>
          <w:b/>
          <w:color w:val="auto"/>
          <w:sz w:val="32"/>
          <w:szCs w:val="32"/>
          <w:highlight w:val="none"/>
        </w:rPr>
      </w:pPr>
    </w:p>
    <w:p w14:paraId="19137B62">
      <w:pPr>
        <w:spacing w:line="400" w:lineRule="exact"/>
        <w:jc w:val="center"/>
        <w:rPr>
          <w:rFonts w:hint="eastAsia" w:ascii="宋体" w:hAnsi="宋体"/>
          <w:b/>
          <w:color w:val="auto"/>
          <w:sz w:val="32"/>
          <w:szCs w:val="32"/>
          <w:highlight w:val="none"/>
        </w:rPr>
      </w:pPr>
    </w:p>
    <w:p w14:paraId="4A9E762D">
      <w:pPr>
        <w:spacing w:line="400" w:lineRule="exact"/>
        <w:jc w:val="center"/>
        <w:rPr>
          <w:rFonts w:hint="eastAsia" w:ascii="宋体" w:hAnsi="宋体"/>
          <w:b/>
          <w:color w:val="auto"/>
          <w:sz w:val="32"/>
          <w:szCs w:val="32"/>
          <w:highlight w:val="none"/>
        </w:rPr>
      </w:pPr>
    </w:p>
    <w:p w14:paraId="47732288">
      <w:pPr>
        <w:spacing w:line="400" w:lineRule="exact"/>
        <w:jc w:val="center"/>
        <w:rPr>
          <w:rFonts w:hint="eastAsia" w:ascii="宋体" w:hAnsi="宋体"/>
          <w:b/>
          <w:color w:val="auto"/>
          <w:sz w:val="32"/>
          <w:szCs w:val="32"/>
          <w:highlight w:val="none"/>
        </w:rPr>
      </w:pPr>
    </w:p>
    <w:p w14:paraId="5EAADDE5">
      <w:pPr>
        <w:spacing w:line="400" w:lineRule="exact"/>
        <w:jc w:val="center"/>
        <w:rPr>
          <w:rFonts w:hint="eastAsia" w:ascii="宋体" w:hAnsi="宋体"/>
          <w:b/>
          <w:color w:val="auto"/>
          <w:sz w:val="32"/>
          <w:szCs w:val="32"/>
          <w:highlight w:val="none"/>
        </w:rPr>
      </w:pPr>
    </w:p>
    <w:p w14:paraId="1F7ADED4">
      <w:pPr>
        <w:spacing w:line="400" w:lineRule="exact"/>
        <w:jc w:val="center"/>
        <w:rPr>
          <w:rFonts w:hint="eastAsia" w:ascii="宋体" w:hAnsi="宋体"/>
          <w:b/>
          <w:color w:val="auto"/>
          <w:sz w:val="32"/>
          <w:szCs w:val="32"/>
          <w:highlight w:val="none"/>
        </w:rPr>
      </w:pPr>
    </w:p>
    <w:p w14:paraId="4BD9EE5D">
      <w:pPr>
        <w:spacing w:line="400" w:lineRule="exact"/>
        <w:jc w:val="center"/>
        <w:rPr>
          <w:rFonts w:hint="eastAsia" w:ascii="宋体" w:hAnsi="宋体"/>
          <w:b/>
          <w:color w:val="auto"/>
          <w:sz w:val="32"/>
          <w:szCs w:val="32"/>
          <w:highlight w:val="none"/>
        </w:rPr>
      </w:pPr>
    </w:p>
    <w:p w14:paraId="3ED73A99">
      <w:pPr>
        <w:spacing w:line="400" w:lineRule="exact"/>
        <w:rPr>
          <w:rFonts w:hint="eastAsia" w:ascii="宋体" w:hAnsi="宋体"/>
          <w:b/>
          <w:color w:val="auto"/>
          <w:sz w:val="32"/>
          <w:szCs w:val="32"/>
          <w:highlight w:val="none"/>
        </w:rPr>
      </w:pPr>
    </w:p>
    <w:p w14:paraId="03D46A55">
      <w:pPr>
        <w:pStyle w:val="17"/>
        <w:rPr>
          <w:rFonts w:hint="eastAsia"/>
          <w:color w:val="auto"/>
          <w:sz w:val="44"/>
          <w:szCs w:val="44"/>
          <w:highlight w:val="none"/>
        </w:rPr>
      </w:pPr>
      <w:bookmarkStart w:id="11" w:name="_Toc476258662"/>
      <w:bookmarkStart w:id="12" w:name="_Toc476258756"/>
      <w:r>
        <w:rPr>
          <w:rFonts w:hint="eastAsia"/>
          <w:color w:val="auto"/>
          <w:sz w:val="44"/>
          <w:szCs w:val="44"/>
          <w:highlight w:val="none"/>
        </w:rPr>
        <w:t>第一章  竞争性磋商公告</w:t>
      </w:r>
      <w:bookmarkEnd w:id="11"/>
      <w:bookmarkEnd w:id="12"/>
    </w:p>
    <w:p w14:paraId="2928472B">
      <w:pP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p>
    <w:p w14:paraId="329D0487">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竞争性磋商公告</w:t>
      </w:r>
    </w:p>
    <w:p w14:paraId="56A1CC2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项目概况</w:t>
      </w:r>
    </w:p>
    <w:p w14:paraId="2FD50D94">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广西财经学院明秀校区总平规划调整和修建性详细规划项目（重）</w:t>
      </w:r>
      <w:r>
        <w:rPr>
          <w:rFonts w:hint="eastAsia" w:ascii="宋体" w:hAnsi="宋体"/>
          <w:color w:val="auto"/>
          <w:szCs w:val="21"/>
          <w:highlight w:val="none"/>
        </w:rPr>
        <w:t>的潜在供应商</w:t>
      </w:r>
      <w:r>
        <w:rPr>
          <w:rFonts w:hint="default" w:ascii="宋体" w:hAnsi="宋体"/>
          <w:color w:val="auto"/>
          <w:szCs w:val="21"/>
          <w:highlight w:val="none"/>
          <w:lang w:val="en-US"/>
        </w:rPr>
        <w:t>应在</w:t>
      </w:r>
      <w:r>
        <w:rPr>
          <w:rFonts w:hint="default" w:ascii="宋体" w:hAnsi="宋体"/>
          <w:color w:val="auto"/>
          <w:szCs w:val="21"/>
          <w:highlight w:val="none"/>
          <w:u w:val="single"/>
          <w:lang w:val="en-US" w:eastAsia="zh-CN"/>
        </w:rPr>
        <w:t>广西南宁市白沙大道53号松宇时代13楼广西国力招标有限公司财务室</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日9点30分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7640967F">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bookmarkStart w:id="13" w:name="_Toc35393798"/>
      <w:bookmarkStart w:id="14" w:name="_Toc28359089"/>
      <w:bookmarkStart w:id="15" w:name="_Toc35393629"/>
      <w:bookmarkStart w:id="16" w:name="_Toc28359012"/>
      <w:r>
        <w:rPr>
          <w:rFonts w:hint="eastAsia" w:ascii="宋体" w:hAnsi="宋体"/>
          <w:b/>
          <w:color w:val="auto"/>
          <w:highlight w:val="none"/>
        </w:rPr>
        <w:t>一、项目基本情况</w:t>
      </w:r>
      <w:bookmarkEnd w:id="13"/>
      <w:bookmarkEnd w:id="14"/>
      <w:bookmarkEnd w:id="15"/>
      <w:bookmarkEnd w:id="16"/>
    </w:p>
    <w:p w14:paraId="3906958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1.项目编号：</w:t>
      </w:r>
      <w:r>
        <w:rPr>
          <w:rFonts w:hint="eastAsia" w:ascii="宋体" w:hAnsi="宋体"/>
          <w:color w:val="auto"/>
          <w:highlight w:val="none"/>
          <w:lang w:eastAsia="zh-CN"/>
        </w:rPr>
        <w:t>GXGL2025S-C567-Z（2）</w:t>
      </w:r>
    </w:p>
    <w:p w14:paraId="1E25C88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2.项目名称：</w:t>
      </w:r>
      <w:r>
        <w:rPr>
          <w:rFonts w:hint="eastAsia" w:ascii="宋体" w:hAnsi="宋体"/>
          <w:color w:val="auto"/>
          <w:highlight w:val="none"/>
          <w:lang w:eastAsia="zh-CN"/>
        </w:rPr>
        <w:t>广西财经学院明秀校区总平规划调整和修建性详细规划项目（重）</w:t>
      </w:r>
    </w:p>
    <w:p w14:paraId="6045EFA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3.采购方式：竞争性磋商</w:t>
      </w:r>
    </w:p>
    <w:p w14:paraId="44FD630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olor w:val="auto"/>
          <w:highlight w:val="none"/>
          <w:lang w:val="en-US"/>
        </w:rPr>
      </w:pPr>
      <w:r>
        <w:rPr>
          <w:rFonts w:hint="eastAsia" w:ascii="宋体" w:hAnsi="宋体"/>
          <w:color w:val="auto"/>
          <w:highlight w:val="none"/>
        </w:rPr>
        <w:t>4.预算金额：</w:t>
      </w:r>
      <w:r>
        <w:rPr>
          <w:rFonts w:hint="eastAsia" w:ascii="宋体" w:hAnsi="宋体"/>
          <w:color w:val="auto"/>
          <w:highlight w:val="none"/>
          <w:lang w:val="en-US" w:eastAsia="zh-CN"/>
        </w:rPr>
        <w:t>36.80万元</w:t>
      </w:r>
    </w:p>
    <w:p w14:paraId="44DA446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color w:val="auto"/>
          <w:highlight w:val="none"/>
          <w:lang w:val="en-US" w:eastAsia="zh-CN"/>
        </w:rPr>
      </w:pPr>
      <w:r>
        <w:rPr>
          <w:rFonts w:hint="eastAsia" w:ascii="宋体" w:hAnsi="宋体"/>
          <w:color w:val="auto"/>
          <w:highlight w:val="none"/>
        </w:rPr>
        <w:t>5.最高限价（如有）：</w:t>
      </w:r>
      <w:r>
        <w:rPr>
          <w:rFonts w:hint="eastAsia" w:ascii="宋体" w:hAnsi="宋体"/>
          <w:color w:val="auto"/>
          <w:highlight w:val="none"/>
          <w:lang w:val="en-US" w:eastAsia="zh-CN"/>
        </w:rPr>
        <w:t>36.80万元</w:t>
      </w:r>
    </w:p>
    <w:p w14:paraId="6E66F8D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6.采购需求：</w:t>
      </w:r>
      <w:r>
        <w:rPr>
          <w:rFonts w:hint="eastAsia" w:ascii="宋体" w:hAnsi="宋体"/>
          <w:color w:val="auto"/>
          <w:highlight w:val="none"/>
          <w:lang w:eastAsia="zh-CN"/>
        </w:rPr>
        <w:t>广西财经学院明秀校区总平规划调整和修建性详细规划项目</w:t>
      </w:r>
      <w:r>
        <w:rPr>
          <w:rFonts w:hint="eastAsia" w:ascii="宋体" w:hAnsi="宋体"/>
          <w:bCs/>
          <w:color w:val="auto"/>
          <w:kern w:val="0"/>
          <w:szCs w:val="21"/>
          <w:highlight w:val="none"/>
        </w:rPr>
        <w:t>1项。</w:t>
      </w:r>
      <w:r>
        <w:rPr>
          <w:rFonts w:hint="eastAsia" w:ascii="宋体" w:hAnsi="宋体" w:cs="Arial"/>
          <w:color w:val="auto"/>
          <w:szCs w:val="21"/>
          <w:highlight w:val="none"/>
        </w:rPr>
        <w:t>如需进一步了解详细内容，详见竞争性磋商文件。</w:t>
      </w:r>
    </w:p>
    <w:p w14:paraId="722D3F90">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7.合同履行期限</w:t>
      </w:r>
      <w:r>
        <w:rPr>
          <w:rFonts w:hint="eastAsia" w:ascii="宋体" w:hAnsi="宋体" w:cs="Times New Roman"/>
          <w:color w:val="auto"/>
          <w:highlight w:val="none"/>
        </w:rPr>
        <w:t>：</w:t>
      </w:r>
      <w:r>
        <w:rPr>
          <w:rFonts w:hint="eastAsia" w:ascii="宋体" w:hAnsi="宋体" w:cs="Times New Roman"/>
          <w:color w:val="auto"/>
          <w:highlight w:val="none"/>
          <w:lang w:eastAsia="zh-CN"/>
        </w:rPr>
        <w:t>详见采购文件</w:t>
      </w:r>
      <w:r>
        <w:rPr>
          <w:rFonts w:hint="eastAsia" w:ascii="宋体" w:hAnsi="宋体" w:cs="Times New Roman"/>
          <w:color w:val="auto"/>
          <w:highlight w:val="none"/>
          <w:lang w:val="en-US" w:eastAsia="zh-CN"/>
        </w:rPr>
        <w:t>第三章采购需求。</w:t>
      </w:r>
      <w:r>
        <w:rPr>
          <w:rFonts w:hint="eastAsia" w:ascii="宋体" w:hAnsi="宋体"/>
          <w:color w:val="auto"/>
          <w:highlight w:val="none"/>
        </w:rPr>
        <w:t xml:space="preserve"> </w:t>
      </w:r>
    </w:p>
    <w:p w14:paraId="34E8ACF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8.本项目</w:t>
      </w:r>
      <w:r>
        <w:rPr>
          <w:rFonts w:hint="eastAsia" w:ascii="宋体" w:hAnsi="宋体" w:cs="Times New Roman"/>
          <w:color w:val="auto"/>
          <w:highlight w:val="none"/>
          <w:lang w:val="en-US" w:eastAsia="zh-CN"/>
        </w:rPr>
        <w:t>不</w:t>
      </w:r>
      <w:r>
        <w:rPr>
          <w:rFonts w:hint="eastAsia" w:ascii="宋体" w:hAnsi="宋体" w:cs="Times New Roman"/>
          <w:color w:val="auto"/>
          <w:highlight w:val="none"/>
          <w:lang w:eastAsia="zh-CN"/>
        </w:rPr>
        <w:t>接受联合体。</w:t>
      </w:r>
    </w:p>
    <w:p w14:paraId="6C5FCAB8">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bookmarkStart w:id="17" w:name="_Toc35393630"/>
      <w:bookmarkStart w:id="18" w:name="_Toc28359013"/>
      <w:bookmarkStart w:id="19" w:name="_Toc28359090"/>
      <w:bookmarkStart w:id="20" w:name="_Toc35393799"/>
      <w:r>
        <w:rPr>
          <w:rFonts w:hint="eastAsia" w:ascii="宋体" w:hAnsi="宋体"/>
          <w:b/>
          <w:color w:val="auto"/>
          <w:highlight w:val="none"/>
        </w:rPr>
        <w:t>二、申请人的资格要求：</w:t>
      </w:r>
      <w:bookmarkEnd w:id="17"/>
      <w:bookmarkEnd w:id="18"/>
      <w:bookmarkEnd w:id="19"/>
      <w:bookmarkEnd w:id="20"/>
    </w:p>
    <w:p w14:paraId="143B44D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eastAsia="zh-CN"/>
        </w:rPr>
      </w:pPr>
      <w:bookmarkStart w:id="21" w:name="_Toc28359091"/>
      <w:bookmarkStart w:id="22" w:name="_Toc28359014"/>
      <w:bookmarkStart w:id="23" w:name="_Toc35393800"/>
      <w:bookmarkStart w:id="24" w:name="_Toc35393631"/>
      <w:r>
        <w:rPr>
          <w:rFonts w:hint="eastAsia" w:ascii="宋体" w:hAnsi="宋体" w:eastAsia="宋体" w:cs="Times New Roman"/>
          <w:color w:val="auto"/>
          <w:highlight w:val="none"/>
        </w:rPr>
        <w:t>1.满足《中华人民共和国政府采购法》第二十二条规定</w:t>
      </w:r>
      <w:r>
        <w:rPr>
          <w:rFonts w:hint="eastAsia" w:ascii="宋体" w:hAnsi="宋体" w:cs="Times New Roman"/>
          <w:color w:val="auto"/>
          <w:highlight w:val="none"/>
          <w:lang w:eastAsia="zh-CN"/>
        </w:rPr>
        <w:t>。</w:t>
      </w:r>
    </w:p>
    <w:p w14:paraId="2B012E3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具备城乡规划（国土空间规划）编制资质证书</w:t>
      </w:r>
      <w:r>
        <w:rPr>
          <w:rFonts w:hint="eastAsia" w:ascii="宋体" w:hAnsi="宋体" w:cs="Times New Roman"/>
          <w:color w:val="auto"/>
          <w:highlight w:val="none"/>
          <w:lang w:val="en-US" w:eastAsia="zh-CN"/>
        </w:rPr>
        <w:t>甲级</w:t>
      </w:r>
      <w:r>
        <w:rPr>
          <w:rFonts w:hint="default" w:ascii="宋体" w:hAnsi="宋体" w:cs="Times New Roman"/>
          <w:color w:val="auto"/>
          <w:highlight w:val="none"/>
          <w:lang w:val="en-US" w:eastAsia="zh-CN"/>
        </w:rPr>
        <w:t>和</w:t>
      </w:r>
      <w:r>
        <w:rPr>
          <w:rFonts w:hint="default" w:ascii="宋体" w:hAnsi="宋体" w:eastAsia="宋体" w:cs="Times New Roman"/>
          <w:color w:val="auto"/>
          <w:highlight w:val="none"/>
          <w:lang w:val="en-US"/>
        </w:rPr>
        <w:t>工程设计资质证书（建筑行业（建筑工程））甲级</w:t>
      </w:r>
      <w:r>
        <w:rPr>
          <w:rFonts w:hint="eastAsia" w:ascii="宋体" w:hAnsi="宋体" w:eastAsia="宋体" w:cs="Times New Roman"/>
          <w:color w:val="auto"/>
          <w:highlight w:val="none"/>
        </w:rPr>
        <w:t>。</w:t>
      </w:r>
    </w:p>
    <w:p w14:paraId="2BEB34B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lang w:val="en-US" w:eastAsia="zh-CN"/>
        </w:rPr>
        <w:t>业绩要求：</w:t>
      </w:r>
      <w:r>
        <w:rPr>
          <w:rFonts w:hint="eastAsia" w:ascii="宋体" w:hAnsi="宋体"/>
          <w:color w:val="auto"/>
          <w:highlight w:val="none"/>
        </w:rPr>
        <w:t>202</w:t>
      </w:r>
      <w:r>
        <w:rPr>
          <w:rFonts w:hint="eastAsia" w:ascii="宋体" w:hAnsi="宋体"/>
          <w:color w:val="auto"/>
          <w:highlight w:val="none"/>
          <w:lang w:eastAsia="zh-CN"/>
        </w:rPr>
        <w:t>3</w:t>
      </w:r>
      <w:r>
        <w:rPr>
          <w:rFonts w:hint="eastAsia" w:ascii="宋体" w:hAnsi="宋体"/>
          <w:color w:val="auto"/>
          <w:highlight w:val="none"/>
        </w:rPr>
        <w:t>年1月1日以来至响应文件递交截止日期止</w:t>
      </w:r>
      <w:r>
        <w:rPr>
          <w:rFonts w:hint="eastAsia" w:ascii="宋体" w:hAnsi="宋体" w:eastAsia="宋体" w:cs="Times New Roman"/>
          <w:color w:val="auto"/>
          <w:highlight w:val="none"/>
          <w:lang w:val="en-US" w:eastAsia="zh-CN"/>
        </w:rPr>
        <w:t>，</w:t>
      </w:r>
      <w:r>
        <w:rPr>
          <w:rFonts w:hint="eastAsia" w:ascii="宋体" w:hAnsi="宋体"/>
          <w:color w:val="auto"/>
          <w:highlight w:val="none"/>
        </w:rPr>
        <w:t>供应商承接过</w:t>
      </w:r>
      <w:r>
        <w:rPr>
          <w:rFonts w:hint="eastAsia" w:ascii="宋体" w:hAnsi="宋体" w:cs="Times New Roman"/>
          <w:color w:val="auto"/>
          <w:highlight w:val="none"/>
          <w:lang w:val="en-US" w:eastAsia="zh-CN"/>
        </w:rPr>
        <w:t>1个（含）以上</w:t>
      </w:r>
      <w:r>
        <w:rPr>
          <w:rFonts w:hint="eastAsia" w:ascii="宋体" w:hAnsi="宋体"/>
          <w:color w:val="auto"/>
          <w:highlight w:val="none"/>
        </w:rPr>
        <w:t>修建性详细规划</w:t>
      </w:r>
      <w:r>
        <w:rPr>
          <w:rFonts w:hint="eastAsia" w:ascii="宋体" w:hAnsi="宋体"/>
          <w:color w:val="auto"/>
          <w:highlight w:val="none"/>
          <w:lang w:val="en-US" w:eastAsia="zh-CN"/>
        </w:rPr>
        <w:t>项目业绩</w:t>
      </w:r>
      <w:r>
        <w:rPr>
          <w:rFonts w:hint="eastAsia" w:ascii="宋体" w:hAnsi="宋体" w:eastAsia="宋体" w:cs="Times New Roman"/>
          <w:color w:val="auto"/>
          <w:highlight w:val="none"/>
          <w:lang w:val="en-US" w:eastAsia="zh-CN"/>
        </w:rPr>
        <w:t>。</w:t>
      </w:r>
    </w:p>
    <w:p w14:paraId="08302D9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lang w:val="en-US" w:eastAsia="zh-CN"/>
        </w:rPr>
        <w:t>项目负责人资格：</w:t>
      </w:r>
      <w:r>
        <w:rPr>
          <w:rFonts w:hint="eastAsia" w:ascii="宋体" w:hAnsi="宋体"/>
          <w:color w:val="auto"/>
          <w:highlight w:val="none"/>
        </w:rPr>
        <w:t>具有城乡规划相关专业高级及以上职称同时具有注册城乡规划师资格</w:t>
      </w:r>
      <w:r>
        <w:rPr>
          <w:rFonts w:hint="eastAsia" w:ascii="宋体" w:hAnsi="宋体"/>
          <w:color w:val="auto"/>
          <w:highlight w:val="none"/>
          <w:lang w:val="en-US" w:eastAsia="zh-CN"/>
        </w:rPr>
        <w:t>或</w:t>
      </w:r>
      <w:r>
        <w:rPr>
          <w:rFonts w:hint="eastAsia" w:ascii="宋体" w:hAnsi="宋体"/>
          <w:color w:val="auto"/>
          <w:highlight w:val="none"/>
        </w:rPr>
        <w:t>一级注册建筑师</w:t>
      </w:r>
      <w:r>
        <w:rPr>
          <w:rFonts w:hint="eastAsia" w:ascii="宋体" w:hAnsi="宋体"/>
          <w:color w:val="auto"/>
          <w:highlight w:val="none"/>
          <w:lang w:val="en-US" w:eastAsia="zh-CN"/>
        </w:rPr>
        <w:t>资格</w:t>
      </w:r>
      <w:r>
        <w:rPr>
          <w:rFonts w:hint="eastAsia" w:ascii="宋体" w:hAnsi="宋体" w:eastAsia="宋体" w:cs="Times New Roman"/>
          <w:color w:val="auto"/>
          <w:highlight w:val="none"/>
          <w:lang w:val="en-US" w:eastAsia="zh-CN"/>
        </w:rPr>
        <w:t>。</w:t>
      </w:r>
    </w:p>
    <w:p w14:paraId="3DA37018">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val="en-US" w:eastAsia="zh-CN"/>
        </w:rPr>
        <w:t>项目组人员要求：人员专业需包含</w:t>
      </w:r>
      <w:r>
        <w:rPr>
          <w:rFonts w:hint="eastAsia" w:ascii="宋体" w:hAnsi="宋体"/>
          <w:color w:val="auto"/>
          <w:highlight w:val="none"/>
        </w:rPr>
        <w:t>规划、建筑、</w:t>
      </w:r>
      <w:r>
        <w:rPr>
          <w:rFonts w:hint="eastAsia" w:ascii="宋体" w:hAnsi="宋体"/>
          <w:color w:val="auto"/>
          <w:highlight w:val="none"/>
          <w:lang w:val="en-US" w:eastAsia="zh-CN"/>
        </w:rPr>
        <w:t>市政</w:t>
      </w:r>
      <w:r>
        <w:rPr>
          <w:rFonts w:hint="eastAsia" w:ascii="宋体" w:hAnsi="宋体"/>
          <w:color w:val="auto"/>
          <w:highlight w:val="none"/>
        </w:rPr>
        <w:t>、景观（园林）、造价</w:t>
      </w:r>
      <w:r>
        <w:rPr>
          <w:rFonts w:hint="eastAsia" w:ascii="宋体" w:hAnsi="宋体"/>
          <w:color w:val="auto"/>
          <w:highlight w:val="none"/>
          <w:lang w:val="en-US" w:eastAsia="zh-CN"/>
        </w:rPr>
        <w:t>等专业</w:t>
      </w:r>
      <w:r>
        <w:rPr>
          <w:rFonts w:hint="eastAsia" w:ascii="宋体" w:hAnsi="宋体" w:eastAsia="宋体" w:cs="Times New Roman"/>
          <w:color w:val="auto"/>
          <w:highlight w:val="none"/>
          <w:lang w:val="en-US" w:eastAsia="zh-CN"/>
        </w:rPr>
        <w:t>。</w:t>
      </w:r>
    </w:p>
    <w:p w14:paraId="2B6B615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三、获取采购文件</w:t>
      </w:r>
      <w:bookmarkEnd w:id="21"/>
      <w:bookmarkEnd w:id="22"/>
      <w:bookmarkEnd w:id="23"/>
      <w:bookmarkEnd w:id="24"/>
    </w:p>
    <w:p w14:paraId="1A07998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r>
        <w:rPr>
          <w:rFonts w:hint="eastAsia" w:ascii="宋体" w:hAnsi="宋体"/>
          <w:color w:val="auto"/>
          <w:highlight w:val="none"/>
          <w:u w:val="none"/>
        </w:rPr>
        <w:t>1.时间</w:t>
      </w:r>
      <w:r>
        <w:rPr>
          <w:rFonts w:hint="eastAsia" w:ascii="宋体" w:hAnsi="宋体" w:eastAsia="宋体" w:cs="Times New Roman"/>
          <w:color w:val="auto"/>
          <w:highlight w:val="none"/>
          <w:u w:val="none"/>
        </w:rPr>
        <w:t>：</w:t>
      </w:r>
      <w:r>
        <w:rPr>
          <w:rFonts w:hint="eastAsia" w:ascii="宋体" w:hAnsi="宋体" w:eastAsia="宋体" w:cs="Times New Roman"/>
          <w:color w:val="auto"/>
          <w:highlight w:val="none"/>
          <w:u w:val="none"/>
          <w:lang w:val="en-US" w:eastAsia="zh-CN"/>
        </w:rPr>
        <w:t>自发布公告之日起</w:t>
      </w:r>
      <w:r>
        <w:rPr>
          <w:rFonts w:hint="eastAsia" w:ascii="宋体" w:hAnsi="宋体" w:eastAsia="宋体" w:cs="Times New Roman"/>
          <w:color w:val="auto"/>
          <w:highlight w:val="none"/>
          <w:u w:val="none"/>
        </w:rPr>
        <w:t>至</w:t>
      </w:r>
      <w:r>
        <w:rPr>
          <w:rFonts w:hint="eastAsia" w:ascii="宋体" w:hAnsi="宋体" w:eastAsia="宋体" w:cs="Times New Roman"/>
          <w:color w:val="auto"/>
          <w:highlight w:val="none"/>
          <w:u w:val="none"/>
          <w:lang w:val="en-US" w:eastAsia="zh-CN"/>
        </w:rPr>
        <w:t>响应</w:t>
      </w:r>
      <w:r>
        <w:rPr>
          <w:rFonts w:hint="eastAsia" w:ascii="宋体" w:hAnsi="宋体" w:eastAsia="宋体" w:cs="Times New Roman"/>
          <w:color w:val="auto"/>
          <w:highlight w:val="none"/>
          <w:u w:val="none"/>
        </w:rPr>
        <w:t>文件递交的截止时间止</w:t>
      </w:r>
      <w:r>
        <w:rPr>
          <w:rFonts w:hint="eastAsia" w:ascii="宋体" w:hAnsi="宋体" w:eastAsia="宋体" w:cs="Times New Roman"/>
          <w:color w:val="auto"/>
          <w:highlight w:val="none"/>
          <w:u w:val="none"/>
          <w:lang w:eastAsia="zh-CN"/>
        </w:rPr>
        <w:t>；</w:t>
      </w:r>
    </w:p>
    <w:p w14:paraId="59C8506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2.</w:t>
      </w:r>
      <w:r>
        <w:rPr>
          <w:rFonts w:hint="eastAsia" w:ascii="宋体" w:hAnsi="宋体" w:cs="Times New Roman"/>
          <w:color w:val="auto"/>
          <w:highlight w:val="none"/>
          <w:u w:val="none"/>
          <w:lang w:val="en-US" w:eastAsia="zh-CN"/>
        </w:rPr>
        <w:t>获取采购文件方式</w:t>
      </w:r>
      <w:r>
        <w:rPr>
          <w:rFonts w:hint="eastAsia" w:ascii="宋体" w:hAnsi="宋体" w:eastAsia="宋体" w:cs="Times New Roman"/>
          <w:color w:val="auto"/>
          <w:highlight w:val="none"/>
          <w:u w:val="none"/>
        </w:rPr>
        <w:t>：不发放纸质文件，</w:t>
      </w:r>
      <w:r>
        <w:rPr>
          <w:rFonts w:hint="eastAsia" w:ascii="宋体" w:hAnsi="宋体" w:cs="Times New Roman"/>
          <w:color w:val="auto"/>
          <w:highlight w:val="none"/>
          <w:u w:val="none"/>
          <w:lang w:val="en-US" w:eastAsia="zh-CN"/>
        </w:rPr>
        <w:t>各潜在供应商</w:t>
      </w:r>
      <w:r>
        <w:rPr>
          <w:rFonts w:hint="eastAsia" w:ascii="宋体" w:hAnsi="宋体" w:eastAsia="宋体" w:cs="Times New Roman"/>
          <w:color w:val="auto"/>
          <w:highlight w:val="none"/>
          <w:u w:val="none"/>
        </w:rPr>
        <w:t>自行</w:t>
      </w:r>
      <w:r>
        <w:rPr>
          <w:rFonts w:hint="eastAsia" w:ascii="宋体" w:hAnsi="宋体" w:cs="Times New Roman"/>
          <w:color w:val="auto"/>
          <w:highlight w:val="none"/>
          <w:u w:val="none"/>
          <w:lang w:val="en-US" w:eastAsia="zh-CN"/>
        </w:rPr>
        <w:t>在采购</w:t>
      </w:r>
      <w:r>
        <w:rPr>
          <w:rFonts w:hint="eastAsia" w:ascii="宋体" w:hAnsi="宋体" w:eastAsia="宋体" w:cs="Times New Roman"/>
          <w:color w:val="auto"/>
          <w:highlight w:val="none"/>
          <w:u w:val="none"/>
        </w:rPr>
        <w:t>公告</w:t>
      </w:r>
      <w:r>
        <w:rPr>
          <w:rFonts w:hint="eastAsia" w:ascii="宋体" w:hAnsi="宋体" w:cs="Times New Roman"/>
          <w:color w:val="auto"/>
          <w:highlight w:val="none"/>
          <w:u w:val="none"/>
          <w:lang w:val="en-US" w:eastAsia="zh-CN"/>
        </w:rPr>
        <w:t>附件</w:t>
      </w:r>
      <w:r>
        <w:rPr>
          <w:rFonts w:hint="eastAsia" w:ascii="宋体" w:hAnsi="宋体" w:eastAsia="宋体" w:cs="Times New Roman"/>
          <w:color w:val="auto"/>
          <w:highlight w:val="none"/>
          <w:u w:val="none"/>
        </w:rPr>
        <w:t>处</w:t>
      </w:r>
      <w:r>
        <w:rPr>
          <w:rFonts w:hint="eastAsia" w:ascii="宋体" w:hAnsi="宋体" w:cs="Times New Roman"/>
          <w:color w:val="auto"/>
          <w:highlight w:val="none"/>
          <w:u w:val="none"/>
          <w:lang w:val="en-US" w:eastAsia="zh-CN"/>
        </w:rPr>
        <w:t>免费获取</w:t>
      </w:r>
      <w:r>
        <w:rPr>
          <w:rFonts w:hint="eastAsia" w:ascii="宋体" w:hAnsi="宋体" w:eastAsia="宋体" w:cs="Times New Roman"/>
          <w:color w:val="auto"/>
          <w:highlight w:val="none"/>
          <w:u w:val="none"/>
        </w:rPr>
        <w:t>采购文件。</w:t>
      </w:r>
    </w:p>
    <w:p w14:paraId="582B510F">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25" w:name="_Toc28359015"/>
      <w:bookmarkStart w:id="26" w:name="_Toc35393632"/>
      <w:bookmarkStart w:id="27" w:name="_Toc35393801"/>
      <w:bookmarkStart w:id="28" w:name="_Toc28359092"/>
      <w:r>
        <w:rPr>
          <w:rFonts w:hint="eastAsia" w:ascii="宋体" w:hAnsi="宋体"/>
          <w:b/>
          <w:color w:val="auto"/>
          <w:highlight w:val="none"/>
          <w:u w:val="none"/>
        </w:rPr>
        <w:t>四、响应文件提交</w:t>
      </w:r>
      <w:bookmarkEnd w:id="25"/>
      <w:bookmarkEnd w:id="26"/>
      <w:bookmarkEnd w:id="27"/>
      <w:bookmarkEnd w:id="28"/>
    </w:p>
    <w:p w14:paraId="4DE21CB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截止时间：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11</w:t>
      </w:r>
      <w:r>
        <w:rPr>
          <w:rFonts w:hint="eastAsia" w:ascii="宋体" w:hAnsi="宋体"/>
          <w:bCs/>
          <w:color w:val="auto"/>
          <w:highlight w:val="none"/>
          <w:u w:val="none"/>
        </w:rPr>
        <w:t>月</w:t>
      </w:r>
      <w:r>
        <w:rPr>
          <w:rFonts w:hint="eastAsia" w:ascii="宋体" w:hAnsi="宋体"/>
          <w:bCs/>
          <w:color w:val="auto"/>
          <w:highlight w:val="none"/>
          <w:u w:val="none"/>
          <w:lang w:val="en-US" w:eastAsia="zh-CN"/>
        </w:rPr>
        <w:t>27</w:t>
      </w:r>
      <w:r>
        <w:rPr>
          <w:rFonts w:hint="eastAsia" w:ascii="宋体" w:hAnsi="宋体"/>
          <w:bCs/>
          <w:color w:val="auto"/>
          <w:highlight w:val="none"/>
          <w:u w:val="none"/>
        </w:rPr>
        <w:t>日9点30分（北京时间）</w:t>
      </w:r>
    </w:p>
    <w:p w14:paraId="32E91F5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地点：</w:t>
      </w:r>
      <w:r>
        <w:rPr>
          <w:rFonts w:hint="eastAsia" w:ascii="宋体" w:hAnsi="宋体"/>
          <w:b/>
          <w:color w:val="auto"/>
          <w:szCs w:val="21"/>
          <w:highlight w:val="none"/>
          <w:u w:val="none"/>
        </w:rPr>
        <w:t>广西国力招标有限公司开标厅（广西南宁市白沙大道53号松宇时代13楼）</w:t>
      </w:r>
      <w:r>
        <w:rPr>
          <w:rFonts w:hint="eastAsia" w:ascii="宋体" w:hAnsi="宋体"/>
          <w:color w:val="auto"/>
          <w:szCs w:val="21"/>
          <w:highlight w:val="none"/>
          <w:u w:val="none"/>
        </w:rPr>
        <w:t>。截止时间后为磋商小组与磋商供应商磋商时间，具体时间由本代理机构另行通知。地点：</w:t>
      </w:r>
      <w:r>
        <w:rPr>
          <w:rFonts w:hint="eastAsia" w:ascii="宋体" w:hAnsi="宋体"/>
          <w:color w:val="auto"/>
          <w:szCs w:val="21"/>
          <w:highlight w:val="none"/>
          <w:u w:val="none"/>
          <w:lang w:val="en-US" w:eastAsia="zh-CN"/>
        </w:rPr>
        <w:t>广西国力招标有限公司评标室（广西南宁市白沙大道53号松宇时代13楼）</w:t>
      </w:r>
      <w:r>
        <w:rPr>
          <w:rFonts w:hint="eastAsia" w:ascii="宋体" w:hAnsi="宋体"/>
          <w:color w:val="auto"/>
          <w:szCs w:val="21"/>
          <w:highlight w:val="none"/>
          <w:u w:val="none"/>
        </w:rPr>
        <w:t>，参加磋商的法定代表人或委托代理人必须持有效证件[法定代表人凭身份证或委托代理人凭法人授权委托书原件和身份证]依时到达指定地点等候当面磋商。</w:t>
      </w:r>
    </w:p>
    <w:p w14:paraId="62C63442">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29" w:name="_Toc35393802"/>
      <w:bookmarkStart w:id="30" w:name="_Toc35393633"/>
      <w:bookmarkStart w:id="31" w:name="_Toc28359093"/>
      <w:bookmarkStart w:id="32" w:name="_Toc28359016"/>
      <w:r>
        <w:rPr>
          <w:rFonts w:hint="eastAsia" w:ascii="宋体" w:hAnsi="宋体"/>
          <w:b/>
          <w:color w:val="auto"/>
          <w:highlight w:val="none"/>
          <w:u w:val="none"/>
        </w:rPr>
        <w:t>五、开启</w:t>
      </w:r>
      <w:bookmarkEnd w:id="29"/>
      <w:bookmarkEnd w:id="30"/>
      <w:bookmarkEnd w:id="31"/>
      <w:bookmarkEnd w:id="32"/>
    </w:p>
    <w:p w14:paraId="0BDF31D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11</w:t>
      </w:r>
      <w:r>
        <w:rPr>
          <w:rFonts w:hint="eastAsia" w:ascii="宋体" w:hAnsi="宋体"/>
          <w:bCs/>
          <w:color w:val="auto"/>
          <w:highlight w:val="none"/>
          <w:u w:val="none"/>
          <w:lang w:eastAsia="zh-CN"/>
        </w:rPr>
        <w:t>月</w:t>
      </w:r>
      <w:r>
        <w:rPr>
          <w:rFonts w:hint="eastAsia" w:ascii="宋体" w:hAnsi="宋体"/>
          <w:bCs/>
          <w:color w:val="auto"/>
          <w:highlight w:val="none"/>
          <w:u w:val="none"/>
          <w:lang w:val="en-US" w:eastAsia="zh-CN"/>
        </w:rPr>
        <w:t>27</w:t>
      </w:r>
      <w:r>
        <w:rPr>
          <w:rFonts w:hint="eastAsia" w:ascii="宋体" w:hAnsi="宋体"/>
          <w:bCs/>
          <w:color w:val="auto"/>
          <w:highlight w:val="none"/>
          <w:u w:val="none"/>
          <w:lang w:eastAsia="zh-CN"/>
        </w:rPr>
        <w:t>日9点30分</w:t>
      </w:r>
      <w:r>
        <w:rPr>
          <w:rFonts w:hint="eastAsia" w:ascii="宋体" w:hAnsi="宋体"/>
          <w:bCs/>
          <w:color w:val="auto"/>
          <w:highlight w:val="none"/>
          <w:u w:val="none"/>
        </w:rPr>
        <w:t>（北京时间）</w:t>
      </w:r>
    </w:p>
    <w:p w14:paraId="7A0FEB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地点：广西国力招标有限公司评标室（广西南宁市白沙大道53号松宇时代13楼）。</w:t>
      </w:r>
    </w:p>
    <w:p w14:paraId="73529A1D">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33" w:name="_Toc28359017"/>
      <w:bookmarkStart w:id="34" w:name="_Toc35393803"/>
      <w:bookmarkStart w:id="35" w:name="_Toc35393634"/>
      <w:bookmarkStart w:id="36" w:name="_Toc28359094"/>
      <w:r>
        <w:rPr>
          <w:rFonts w:hint="eastAsia" w:ascii="宋体" w:hAnsi="宋体"/>
          <w:b/>
          <w:color w:val="auto"/>
          <w:highlight w:val="none"/>
          <w:u w:val="none"/>
        </w:rPr>
        <w:t>六、公告期限</w:t>
      </w:r>
      <w:bookmarkEnd w:id="33"/>
      <w:bookmarkEnd w:id="34"/>
      <w:bookmarkEnd w:id="35"/>
      <w:bookmarkEnd w:id="36"/>
    </w:p>
    <w:p w14:paraId="0B3AFB8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kern w:val="0"/>
          <w:highlight w:val="none"/>
          <w:u w:val="none"/>
        </w:rPr>
      </w:pPr>
      <w:r>
        <w:rPr>
          <w:rFonts w:hint="eastAsia" w:ascii="宋体" w:hAnsi="宋体"/>
          <w:color w:val="auto"/>
          <w:kern w:val="0"/>
          <w:highlight w:val="none"/>
          <w:u w:val="none"/>
        </w:rPr>
        <w:t>自本公告发布之日起</w:t>
      </w:r>
      <w:r>
        <w:rPr>
          <w:rFonts w:hint="eastAsia" w:ascii="宋体" w:hAnsi="宋体"/>
          <w:color w:val="auto"/>
          <w:kern w:val="0"/>
          <w:highlight w:val="none"/>
          <w:u w:val="none"/>
          <w:lang w:val="en-US" w:eastAsia="zh-CN"/>
        </w:rPr>
        <w:t>5</w:t>
      </w:r>
      <w:r>
        <w:rPr>
          <w:rFonts w:hint="eastAsia" w:ascii="宋体" w:hAnsi="宋体"/>
          <w:color w:val="auto"/>
          <w:kern w:val="0"/>
          <w:highlight w:val="none"/>
          <w:u w:val="none"/>
        </w:rPr>
        <w:t>个工作日。</w:t>
      </w:r>
    </w:p>
    <w:p w14:paraId="4C2480BC">
      <w:pPr>
        <w:keepNext w:val="0"/>
        <w:keepLines w:val="0"/>
        <w:pageBreakBefore w:val="0"/>
        <w:widowControl w:val="0"/>
        <w:numPr>
          <w:ilvl w:val="0"/>
          <w:numId w:val="0"/>
        </w:numPr>
        <w:kinsoku/>
        <w:overflowPunct/>
        <w:topLinePunct w:val="0"/>
        <w:autoSpaceDE/>
        <w:autoSpaceDN/>
        <w:bidi w:val="0"/>
        <w:adjustRightInd/>
        <w:snapToGrid/>
        <w:spacing w:line="360" w:lineRule="exact"/>
        <w:ind w:firstLine="422" w:firstLineChars="200"/>
        <w:textAlignment w:val="auto"/>
        <w:rPr>
          <w:rFonts w:hint="eastAsia" w:ascii="宋体" w:hAnsi="宋体"/>
          <w:b/>
          <w:color w:val="auto"/>
          <w:highlight w:val="none"/>
          <w:u w:val="none"/>
        </w:rPr>
      </w:pPr>
      <w:bookmarkStart w:id="37" w:name="_Toc35393804"/>
      <w:bookmarkStart w:id="38" w:name="_Toc35393635"/>
      <w:r>
        <w:rPr>
          <w:rFonts w:hint="eastAsia" w:ascii="宋体" w:hAnsi="宋体" w:eastAsia="宋体" w:cs="Times New Roman"/>
          <w:b/>
          <w:color w:val="auto"/>
          <w:kern w:val="2"/>
          <w:sz w:val="21"/>
          <w:szCs w:val="24"/>
          <w:highlight w:val="none"/>
          <w:lang w:val="en-US" w:eastAsia="zh-CN" w:bidi="ar-SA"/>
        </w:rPr>
        <w:t>七、</w:t>
      </w:r>
      <w:r>
        <w:rPr>
          <w:rFonts w:hint="eastAsia" w:ascii="宋体" w:hAnsi="宋体"/>
          <w:b/>
          <w:color w:val="auto"/>
          <w:highlight w:val="none"/>
          <w:u w:val="none"/>
        </w:rPr>
        <w:t>其他补充事宜</w:t>
      </w:r>
      <w:bookmarkEnd w:id="37"/>
      <w:bookmarkEnd w:id="38"/>
    </w:p>
    <w:p w14:paraId="36B5596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eastAsia="宋体" w:cs="Times New Roman"/>
          <w:color w:val="auto"/>
          <w:highlight w:val="none"/>
          <w:u w:val="none"/>
        </w:rPr>
      </w:pPr>
      <w:r>
        <w:rPr>
          <w:rFonts w:hint="eastAsia" w:ascii="宋体" w:hAnsi="宋体"/>
          <w:b/>
          <w:color w:val="auto"/>
          <w:highlight w:val="none"/>
          <w:u w:val="none"/>
        </w:rPr>
        <w:t>1.</w:t>
      </w:r>
      <w:r>
        <w:rPr>
          <w:rFonts w:hint="eastAsia" w:ascii="宋体" w:hAnsi="宋体"/>
          <w:b/>
          <w:color w:val="auto"/>
          <w:szCs w:val="21"/>
          <w:highlight w:val="none"/>
          <w:u w:val="none"/>
        </w:rPr>
        <w:t>磋商</w:t>
      </w:r>
      <w:r>
        <w:rPr>
          <w:rFonts w:hint="eastAsia" w:ascii="宋体" w:hAnsi="宋体"/>
          <w:b/>
          <w:bCs/>
          <w:color w:val="auto"/>
          <w:highlight w:val="none"/>
          <w:u w:val="none"/>
        </w:rPr>
        <w:t>保证金</w:t>
      </w:r>
      <w:r>
        <w:rPr>
          <w:rFonts w:hint="eastAsia" w:ascii="宋体" w:hAnsi="宋体"/>
          <w:b/>
          <w:color w:val="auto"/>
          <w:highlight w:val="none"/>
          <w:u w:val="none"/>
        </w:rPr>
        <w:t>（人民币）：</w:t>
      </w:r>
      <w:r>
        <w:rPr>
          <w:rFonts w:hint="eastAsia" w:ascii="宋体" w:hAnsi="宋体"/>
          <w:bCs/>
          <w:color w:val="auto"/>
          <w:highlight w:val="none"/>
          <w:u w:val="none"/>
          <w:lang w:val="en-US" w:eastAsia="zh-CN"/>
        </w:rPr>
        <w:t>本项目不收取磋商保证金</w:t>
      </w:r>
      <w:r>
        <w:rPr>
          <w:rFonts w:hint="eastAsia" w:ascii="宋体" w:hAnsi="宋体"/>
          <w:color w:val="auto"/>
          <w:highlight w:val="none"/>
          <w:u w:val="none"/>
        </w:rPr>
        <w:t>。</w:t>
      </w:r>
    </w:p>
    <w:p w14:paraId="5605C50C">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b/>
          <w:color w:val="auto"/>
          <w:highlight w:val="none"/>
          <w:u w:val="none"/>
        </w:rPr>
      </w:pPr>
      <w:r>
        <w:rPr>
          <w:rFonts w:hint="eastAsia" w:ascii="宋体" w:hAnsi="宋体"/>
          <w:b/>
          <w:color w:val="auto"/>
          <w:highlight w:val="none"/>
          <w:u w:val="none"/>
          <w:lang w:val="en-US" w:eastAsia="zh-CN"/>
        </w:rPr>
        <w:t>2</w:t>
      </w:r>
      <w:r>
        <w:rPr>
          <w:rFonts w:hint="eastAsia" w:ascii="宋体" w:hAnsi="宋体"/>
          <w:b/>
          <w:color w:val="auto"/>
          <w:highlight w:val="none"/>
          <w:u w:val="none"/>
        </w:rPr>
        <w:t>.网上公告媒体查询</w:t>
      </w:r>
    </w:p>
    <w:p w14:paraId="0E91A8E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szCs w:val="21"/>
          <w:highlight w:val="none"/>
          <w:u w:val="none"/>
        </w:rPr>
        <w:t>中国采购与招标网（www.chinabidding.com.cn）</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广西国力招标有限公司网站（http://www.gxguoli.cn）</w:t>
      </w:r>
      <w:r>
        <w:rPr>
          <w:rFonts w:hint="eastAsia" w:ascii="宋体" w:hAnsi="宋体"/>
          <w:color w:val="auto"/>
          <w:highlight w:val="none"/>
          <w:u w:val="none"/>
        </w:rPr>
        <w:t>。</w:t>
      </w:r>
    </w:p>
    <w:p w14:paraId="0EAC0EF6">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39" w:name="_Toc35393805"/>
      <w:bookmarkStart w:id="40" w:name="_Toc35393636"/>
      <w:bookmarkStart w:id="41" w:name="_Toc28359095"/>
      <w:bookmarkStart w:id="42" w:name="_Toc28359018"/>
      <w:r>
        <w:rPr>
          <w:rFonts w:hint="eastAsia" w:ascii="宋体" w:hAnsi="宋体"/>
          <w:b/>
          <w:color w:val="auto"/>
          <w:highlight w:val="none"/>
          <w:u w:val="none"/>
        </w:rPr>
        <w:t>八、凡对本次采购提出询问，请按</w:t>
      </w:r>
      <w:r>
        <w:rPr>
          <w:rFonts w:ascii="宋体" w:hAnsi="宋体"/>
          <w:b/>
          <w:color w:val="auto"/>
          <w:highlight w:val="none"/>
          <w:u w:val="none"/>
        </w:rPr>
        <w:t>以下方式</w:t>
      </w:r>
      <w:r>
        <w:rPr>
          <w:rFonts w:hint="eastAsia" w:ascii="宋体" w:hAnsi="宋体"/>
          <w:b/>
          <w:color w:val="auto"/>
          <w:highlight w:val="none"/>
          <w:u w:val="none"/>
        </w:rPr>
        <w:t>联系。</w:t>
      </w:r>
      <w:bookmarkEnd w:id="39"/>
      <w:bookmarkEnd w:id="40"/>
      <w:bookmarkEnd w:id="41"/>
      <w:bookmarkEnd w:id="42"/>
    </w:p>
    <w:p w14:paraId="60BA185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1.采购人信息</w:t>
      </w:r>
    </w:p>
    <w:p w14:paraId="6E5BCA2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bookmarkStart w:id="43" w:name="_Toc28359009"/>
      <w:bookmarkStart w:id="44" w:name="_Toc28359086"/>
      <w:r>
        <w:rPr>
          <w:rFonts w:hint="eastAsia" w:ascii="宋体" w:hAnsi="宋体"/>
          <w:color w:val="auto"/>
          <w:highlight w:val="none"/>
          <w:u w:val="none"/>
        </w:rPr>
        <w:t>名称：</w:t>
      </w:r>
      <w:r>
        <w:rPr>
          <w:rFonts w:hint="eastAsia" w:ascii="宋体" w:hAnsi="宋体"/>
          <w:color w:val="auto"/>
          <w:highlight w:val="none"/>
          <w:u w:val="none"/>
          <w:lang w:eastAsia="zh-CN"/>
        </w:rPr>
        <w:t>广西财经学院</w:t>
      </w:r>
    </w:p>
    <w:p w14:paraId="14949EC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r>
        <w:rPr>
          <w:rFonts w:hint="eastAsia" w:ascii="宋体" w:hAnsi="宋体"/>
          <w:color w:val="auto"/>
          <w:highlight w:val="none"/>
          <w:u w:val="none"/>
        </w:rPr>
        <w:t>地址：</w:t>
      </w:r>
      <w:r>
        <w:rPr>
          <w:rFonts w:hint="eastAsia" w:ascii="宋体" w:hAnsi="宋体"/>
          <w:color w:val="auto"/>
          <w:highlight w:val="none"/>
          <w:u w:val="none"/>
          <w:lang w:eastAsia="zh-CN"/>
        </w:rPr>
        <w:t>南宁市大学西路189号</w:t>
      </w:r>
    </w:p>
    <w:p w14:paraId="27D5791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olor w:val="auto"/>
          <w:highlight w:val="none"/>
          <w:u w:val="none"/>
          <w:lang w:val="en-US" w:eastAsia="zh-CN"/>
        </w:rPr>
      </w:pPr>
      <w:r>
        <w:rPr>
          <w:rFonts w:hint="eastAsia" w:ascii="宋体" w:hAnsi="宋体"/>
          <w:color w:val="auto"/>
          <w:highlight w:val="none"/>
          <w:u w:val="none"/>
        </w:rPr>
        <w:t>项目联系人：</w:t>
      </w:r>
      <w:r>
        <w:rPr>
          <w:rFonts w:hint="eastAsia" w:ascii="宋体" w:hAnsi="宋体"/>
          <w:color w:val="auto"/>
          <w:highlight w:val="none"/>
          <w:u w:val="none"/>
          <w:lang w:val="en-US" w:eastAsia="zh-CN"/>
        </w:rPr>
        <w:t>钟镇宇</w:t>
      </w:r>
    </w:p>
    <w:p w14:paraId="4884A54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lang w:val="en-US" w:eastAsia="zh-CN"/>
        </w:rPr>
      </w:pPr>
      <w:r>
        <w:rPr>
          <w:rFonts w:hint="eastAsia" w:ascii="宋体" w:hAnsi="宋体"/>
          <w:color w:val="auto"/>
          <w:highlight w:val="none"/>
          <w:u w:val="none"/>
        </w:rPr>
        <w:t>联系电话：0771-3835650</w:t>
      </w:r>
      <w:r>
        <w:rPr>
          <w:rFonts w:hint="eastAsia" w:ascii="宋体" w:hAnsi="宋体"/>
          <w:color w:val="auto"/>
          <w:highlight w:val="none"/>
          <w:u w:val="none"/>
          <w:lang w:eastAsia="zh-CN"/>
        </w:rPr>
        <w:t>，14777712776</w:t>
      </w:r>
    </w:p>
    <w:bookmarkEnd w:id="43"/>
    <w:bookmarkEnd w:id="44"/>
    <w:p w14:paraId="148B93E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2.采购代理机构信息</w:t>
      </w:r>
    </w:p>
    <w:p w14:paraId="36BF7ED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名称：广西国力招标有限公司</w:t>
      </w:r>
    </w:p>
    <w:p w14:paraId="3E9FE1F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地址：南宁市白沙大道53号松宇时代13楼</w:t>
      </w:r>
    </w:p>
    <w:p w14:paraId="2B35159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bookmarkStart w:id="45" w:name="_Toc28359087"/>
      <w:bookmarkStart w:id="46" w:name="_Toc28359010"/>
      <w:r>
        <w:rPr>
          <w:rFonts w:hint="eastAsia" w:ascii="宋体" w:hAnsi="宋体" w:eastAsia="宋体" w:cs="Times New Roman"/>
          <w:color w:val="auto"/>
          <w:highlight w:val="none"/>
          <w:u w:val="none"/>
          <w:lang w:val="en-US" w:eastAsia="zh-CN"/>
        </w:rPr>
        <w:t>领取</w:t>
      </w:r>
      <w:r>
        <w:rPr>
          <w:rFonts w:hint="eastAsia" w:ascii="宋体" w:hAnsi="宋体" w:eastAsia="宋体" w:cs="Times New Roman"/>
          <w:color w:val="auto"/>
          <w:highlight w:val="none"/>
          <w:u w:val="none"/>
        </w:rPr>
        <w:t>竞争性磋商文件联系人：郑欢     联系电话：0771-4915100     传真：0771-4915100</w:t>
      </w:r>
    </w:p>
    <w:p w14:paraId="213531A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3.项目联系方式</w:t>
      </w:r>
      <w:bookmarkEnd w:id="45"/>
      <w:bookmarkEnd w:id="46"/>
    </w:p>
    <w:p w14:paraId="6A59B13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color w:val="auto"/>
          <w:highlight w:val="none"/>
          <w:u w:val="none"/>
          <w:lang w:val="en-US"/>
        </w:rPr>
      </w:pPr>
      <w:r>
        <w:rPr>
          <w:rFonts w:hint="eastAsia" w:ascii="宋体" w:hAnsi="宋体" w:eastAsia="宋体" w:cs="Times New Roman"/>
          <w:color w:val="auto"/>
          <w:highlight w:val="none"/>
          <w:u w:val="none"/>
        </w:rPr>
        <w:t>项目联系人：</w:t>
      </w:r>
      <w:r>
        <w:rPr>
          <w:rFonts w:hint="eastAsia" w:ascii="宋体" w:hAnsi="宋体" w:cs="Times New Roman"/>
          <w:color w:val="auto"/>
          <w:highlight w:val="none"/>
          <w:u w:val="none"/>
          <w:lang w:val="en-US" w:eastAsia="zh-CN"/>
        </w:rPr>
        <w:t>何云飞、李宁芳</w:t>
      </w:r>
    </w:p>
    <w:p w14:paraId="6C1B3CF8">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rPr>
      </w:pPr>
      <w:r>
        <w:rPr>
          <w:rFonts w:hint="eastAsia" w:ascii="宋体" w:hAnsi="宋体" w:eastAsia="宋体" w:cs="Times New Roman"/>
          <w:color w:val="auto"/>
          <w:highlight w:val="none"/>
          <w:u w:val="none"/>
        </w:rPr>
        <w:t>电话：</w:t>
      </w:r>
      <w:r>
        <w:rPr>
          <w:rFonts w:hint="eastAsia" w:ascii="宋体" w:hAnsi="宋体" w:eastAsia="宋体" w:cs="Times New Roman"/>
          <w:color w:val="auto"/>
          <w:highlight w:val="none"/>
          <w:u w:val="none"/>
          <w:lang w:eastAsia="zh-CN"/>
        </w:rPr>
        <w:t>0771-4915558</w:t>
      </w:r>
    </w:p>
    <w:p w14:paraId="01236AC4">
      <w:pPr>
        <w:keepNext w:val="0"/>
        <w:keepLines w:val="0"/>
        <w:pageBreakBefore w:val="0"/>
        <w:widowControl w:val="0"/>
        <w:kinsoku/>
        <w:overflowPunct/>
        <w:topLinePunct w:val="0"/>
        <w:autoSpaceDE/>
        <w:autoSpaceDN/>
        <w:bidi w:val="0"/>
        <w:adjustRightInd/>
        <w:snapToGrid/>
        <w:spacing w:line="360" w:lineRule="exact"/>
        <w:ind w:firstLine="420" w:firstLineChars="200"/>
        <w:jc w:val="right"/>
        <w:textAlignment w:val="auto"/>
        <w:rPr>
          <w:rFonts w:hint="eastAsia" w:ascii="宋体" w:hAnsi="宋体"/>
          <w:color w:val="auto"/>
          <w:highlight w:val="none"/>
          <w:u w:val="none"/>
          <w:lang w:eastAsia="zh-CN"/>
        </w:rPr>
      </w:pPr>
      <w:r>
        <w:rPr>
          <w:rFonts w:hint="eastAsia" w:ascii="宋体" w:hAnsi="宋体"/>
          <w:color w:val="auto"/>
          <w:highlight w:val="none"/>
          <w:u w:val="none"/>
          <w:lang w:eastAsia="zh-CN"/>
        </w:rPr>
        <w:t>广西国力招标有限公司</w:t>
      </w:r>
    </w:p>
    <w:p w14:paraId="16E46FD2">
      <w:pPr>
        <w:keepNext w:val="0"/>
        <w:keepLines w:val="0"/>
        <w:pageBreakBefore w:val="0"/>
        <w:widowControl w:val="0"/>
        <w:kinsoku/>
        <w:overflowPunct/>
        <w:topLinePunct w:val="0"/>
        <w:autoSpaceDE/>
        <w:autoSpaceDN/>
        <w:bidi w:val="0"/>
        <w:adjustRightInd/>
        <w:snapToGrid/>
        <w:spacing w:line="360" w:lineRule="exact"/>
        <w:ind w:firstLine="420" w:firstLineChars="200"/>
        <w:jc w:val="right"/>
        <w:textAlignment w:val="auto"/>
        <w:rPr>
          <w:rFonts w:ascii="宋体" w:hAnsi="宋体"/>
          <w:color w:val="auto"/>
          <w:highlight w:val="none"/>
          <w:u w:val="single"/>
        </w:rPr>
      </w:pPr>
      <w:r>
        <w:rPr>
          <w:rFonts w:hint="eastAsia" w:ascii="宋体" w:hAnsi="宋体" w:cs="Arial"/>
          <w:color w:val="auto"/>
          <w:highlight w:val="none"/>
          <w:lang w:eastAsia="zh-CN"/>
        </w:rPr>
        <w:t>2025年</w:t>
      </w:r>
      <w:r>
        <w:rPr>
          <w:rFonts w:hint="eastAsia" w:ascii="宋体" w:hAnsi="宋体" w:cs="Arial"/>
          <w:color w:val="auto"/>
          <w:highlight w:val="none"/>
          <w:lang w:val="en-US" w:eastAsia="zh-CN"/>
        </w:rPr>
        <w:t>11</w:t>
      </w:r>
      <w:r>
        <w:rPr>
          <w:rFonts w:hint="eastAsia" w:ascii="宋体" w:hAnsi="宋体" w:cs="Arial"/>
          <w:color w:val="auto"/>
          <w:highlight w:val="none"/>
        </w:rPr>
        <w:t>月</w:t>
      </w:r>
      <w:r>
        <w:rPr>
          <w:rFonts w:hint="eastAsia" w:ascii="宋体" w:hAnsi="宋体" w:cs="Arial"/>
          <w:color w:val="auto"/>
          <w:highlight w:val="none"/>
          <w:lang w:val="en-US" w:eastAsia="zh-CN"/>
        </w:rPr>
        <w:t>19</w:t>
      </w:r>
      <w:r>
        <w:rPr>
          <w:rFonts w:hint="eastAsia" w:ascii="宋体" w:hAnsi="宋体" w:cs="Arial"/>
          <w:color w:val="auto"/>
          <w:highlight w:val="none"/>
        </w:rPr>
        <w:t>日</w:t>
      </w:r>
    </w:p>
    <w:p w14:paraId="511E45E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044314B6">
      <w:pPr>
        <w:spacing w:line="400" w:lineRule="exact"/>
        <w:jc w:val="center"/>
        <w:rPr>
          <w:rFonts w:hint="eastAsia" w:ascii="宋体" w:hAnsi="宋体"/>
          <w:b/>
          <w:color w:val="auto"/>
          <w:sz w:val="32"/>
          <w:szCs w:val="32"/>
          <w:highlight w:val="none"/>
        </w:rPr>
      </w:pPr>
    </w:p>
    <w:p w14:paraId="403EF498">
      <w:pPr>
        <w:spacing w:line="400" w:lineRule="exact"/>
        <w:jc w:val="center"/>
        <w:rPr>
          <w:rFonts w:hint="eastAsia" w:ascii="宋体" w:hAnsi="宋体"/>
          <w:b/>
          <w:color w:val="auto"/>
          <w:sz w:val="32"/>
          <w:szCs w:val="32"/>
          <w:highlight w:val="none"/>
        </w:rPr>
      </w:pPr>
    </w:p>
    <w:p w14:paraId="0E629763">
      <w:pPr>
        <w:spacing w:line="400" w:lineRule="exact"/>
        <w:jc w:val="center"/>
        <w:rPr>
          <w:rFonts w:hint="eastAsia" w:ascii="宋体" w:hAnsi="宋体"/>
          <w:b/>
          <w:color w:val="auto"/>
          <w:sz w:val="32"/>
          <w:szCs w:val="32"/>
          <w:highlight w:val="none"/>
        </w:rPr>
      </w:pPr>
    </w:p>
    <w:p w14:paraId="1B2E34D9">
      <w:pPr>
        <w:spacing w:line="400" w:lineRule="exact"/>
        <w:jc w:val="center"/>
        <w:rPr>
          <w:rFonts w:hint="eastAsia" w:ascii="宋体" w:hAnsi="宋体"/>
          <w:b/>
          <w:color w:val="auto"/>
          <w:sz w:val="32"/>
          <w:szCs w:val="32"/>
          <w:highlight w:val="none"/>
        </w:rPr>
      </w:pPr>
    </w:p>
    <w:p w14:paraId="3EC44BC6">
      <w:pPr>
        <w:spacing w:line="400" w:lineRule="exact"/>
        <w:jc w:val="center"/>
        <w:rPr>
          <w:rFonts w:hint="eastAsia" w:ascii="宋体" w:hAnsi="宋体"/>
          <w:b/>
          <w:color w:val="auto"/>
          <w:sz w:val="32"/>
          <w:szCs w:val="32"/>
          <w:highlight w:val="none"/>
        </w:rPr>
      </w:pPr>
    </w:p>
    <w:p w14:paraId="1980DEBB">
      <w:pPr>
        <w:spacing w:line="400" w:lineRule="exact"/>
        <w:jc w:val="center"/>
        <w:rPr>
          <w:rFonts w:hint="eastAsia" w:ascii="宋体" w:hAnsi="宋体"/>
          <w:b/>
          <w:color w:val="auto"/>
          <w:sz w:val="32"/>
          <w:szCs w:val="32"/>
          <w:highlight w:val="none"/>
        </w:rPr>
      </w:pPr>
    </w:p>
    <w:p w14:paraId="174FE772">
      <w:pPr>
        <w:spacing w:line="400" w:lineRule="exact"/>
        <w:jc w:val="center"/>
        <w:rPr>
          <w:rFonts w:hint="eastAsia" w:ascii="宋体" w:hAnsi="宋体"/>
          <w:b/>
          <w:color w:val="auto"/>
          <w:sz w:val="32"/>
          <w:szCs w:val="32"/>
          <w:highlight w:val="none"/>
        </w:rPr>
      </w:pPr>
    </w:p>
    <w:p w14:paraId="7FF9FD04">
      <w:pPr>
        <w:spacing w:line="400" w:lineRule="exact"/>
        <w:jc w:val="center"/>
        <w:rPr>
          <w:rFonts w:hint="eastAsia" w:ascii="宋体" w:hAnsi="宋体"/>
          <w:b/>
          <w:color w:val="auto"/>
          <w:sz w:val="32"/>
          <w:szCs w:val="32"/>
          <w:highlight w:val="none"/>
        </w:rPr>
      </w:pPr>
    </w:p>
    <w:p w14:paraId="1F45F989">
      <w:pPr>
        <w:spacing w:line="400" w:lineRule="exact"/>
        <w:jc w:val="center"/>
        <w:rPr>
          <w:rFonts w:hint="eastAsia" w:ascii="宋体" w:hAnsi="宋体"/>
          <w:b/>
          <w:color w:val="auto"/>
          <w:sz w:val="32"/>
          <w:szCs w:val="32"/>
          <w:highlight w:val="none"/>
        </w:rPr>
      </w:pPr>
    </w:p>
    <w:p w14:paraId="2CC66082">
      <w:pPr>
        <w:spacing w:line="400" w:lineRule="exact"/>
        <w:jc w:val="center"/>
        <w:rPr>
          <w:rFonts w:hint="eastAsia" w:ascii="宋体" w:hAnsi="宋体"/>
          <w:b/>
          <w:color w:val="auto"/>
          <w:sz w:val="32"/>
          <w:szCs w:val="32"/>
          <w:highlight w:val="none"/>
        </w:rPr>
      </w:pPr>
    </w:p>
    <w:p w14:paraId="2A6D7F78">
      <w:pPr>
        <w:spacing w:line="400" w:lineRule="exact"/>
        <w:jc w:val="center"/>
        <w:rPr>
          <w:rFonts w:hint="eastAsia" w:ascii="宋体" w:hAnsi="宋体"/>
          <w:b/>
          <w:color w:val="auto"/>
          <w:sz w:val="32"/>
          <w:szCs w:val="32"/>
          <w:highlight w:val="none"/>
        </w:rPr>
      </w:pPr>
    </w:p>
    <w:p w14:paraId="54A22AB9">
      <w:pPr>
        <w:spacing w:line="400" w:lineRule="exact"/>
        <w:jc w:val="center"/>
        <w:rPr>
          <w:rFonts w:hint="eastAsia" w:ascii="宋体" w:hAnsi="宋体"/>
          <w:b/>
          <w:color w:val="auto"/>
          <w:sz w:val="32"/>
          <w:szCs w:val="32"/>
          <w:highlight w:val="none"/>
        </w:rPr>
      </w:pPr>
    </w:p>
    <w:p w14:paraId="56CDA315">
      <w:pPr>
        <w:spacing w:line="400" w:lineRule="exact"/>
        <w:rPr>
          <w:rFonts w:hint="eastAsia" w:ascii="宋体" w:hAnsi="宋体"/>
          <w:b/>
          <w:color w:val="auto"/>
          <w:sz w:val="32"/>
          <w:szCs w:val="32"/>
          <w:highlight w:val="none"/>
        </w:rPr>
      </w:pPr>
    </w:p>
    <w:p w14:paraId="5364186E">
      <w:pPr>
        <w:pStyle w:val="17"/>
        <w:rPr>
          <w:rFonts w:hint="eastAsia"/>
          <w:color w:val="auto"/>
          <w:sz w:val="44"/>
          <w:szCs w:val="44"/>
          <w:highlight w:val="none"/>
        </w:rPr>
      </w:pPr>
      <w:bookmarkStart w:id="47" w:name="_Toc476258663"/>
      <w:bookmarkStart w:id="48" w:name="_Toc476258757"/>
      <w:r>
        <w:rPr>
          <w:rFonts w:hint="eastAsia"/>
          <w:color w:val="auto"/>
          <w:sz w:val="44"/>
          <w:szCs w:val="44"/>
          <w:highlight w:val="none"/>
        </w:rPr>
        <w:t>第二章  磋商供应商须知</w:t>
      </w:r>
      <w:bookmarkEnd w:id="47"/>
      <w:bookmarkEnd w:id="48"/>
    </w:p>
    <w:p w14:paraId="7749E866">
      <w:pP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16D7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BAA8876">
            <w:pPr>
              <w:pStyle w:val="27"/>
              <w:keepNext w:val="0"/>
              <w:keepLines w:val="0"/>
              <w:pageBreakBefore w:val="0"/>
              <w:widowControl w:val="0"/>
              <w:kinsoku/>
              <w:wordWrap/>
              <w:overflowPunct/>
              <w:topLinePunct w:val="0"/>
              <w:bidi w:val="0"/>
              <w:adjustRightInd/>
              <w:snapToGrid/>
              <w:spacing w:line="380" w:lineRule="exact"/>
              <w:ind w:left="0"/>
              <w:jc w:val="center"/>
              <w:textAlignment w:val="auto"/>
              <w:rPr>
                <w:rFonts w:hint="eastAsia"/>
                <w:color w:val="auto"/>
                <w:highlight w:val="none"/>
              </w:rPr>
            </w:pPr>
            <w:r>
              <w:rPr>
                <w:rFonts w:hint="eastAsia"/>
                <w:color w:val="auto"/>
                <w:highlight w:val="none"/>
              </w:rPr>
              <w:t>序号</w:t>
            </w:r>
          </w:p>
        </w:tc>
        <w:tc>
          <w:tcPr>
            <w:tcW w:w="945" w:type="dxa"/>
            <w:noWrap w:val="0"/>
            <w:vAlign w:val="center"/>
          </w:tcPr>
          <w:p w14:paraId="649914D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条款号</w:t>
            </w:r>
          </w:p>
        </w:tc>
        <w:tc>
          <w:tcPr>
            <w:tcW w:w="8106" w:type="dxa"/>
            <w:noWrap w:val="0"/>
            <w:vAlign w:val="center"/>
          </w:tcPr>
          <w:p w14:paraId="36878F8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内    容</w:t>
            </w:r>
          </w:p>
        </w:tc>
      </w:tr>
      <w:tr w14:paraId="76AE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77D7C2CD">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w:t>
            </w:r>
          </w:p>
        </w:tc>
        <w:tc>
          <w:tcPr>
            <w:tcW w:w="945" w:type="dxa"/>
            <w:noWrap w:val="0"/>
            <w:vAlign w:val="center"/>
          </w:tcPr>
          <w:p w14:paraId="115DABDB">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2.1</w:t>
            </w:r>
          </w:p>
        </w:tc>
        <w:tc>
          <w:tcPr>
            <w:tcW w:w="8106" w:type="dxa"/>
            <w:noWrap w:val="0"/>
            <w:vAlign w:val="center"/>
          </w:tcPr>
          <w:p w14:paraId="1B1F2530">
            <w:pPr>
              <w:pStyle w:val="27"/>
              <w:keepNext w:val="0"/>
              <w:keepLines w:val="0"/>
              <w:pageBreakBefore w:val="0"/>
              <w:widowControl w:val="0"/>
              <w:kinsoku/>
              <w:wordWrap/>
              <w:overflowPunct/>
              <w:topLinePunct w:val="0"/>
              <w:bidi w:val="0"/>
              <w:adjustRightInd/>
              <w:spacing w:line="38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广西财经学院明秀校区总平规划调整和修建性详细规划项目（重）</w:t>
            </w:r>
          </w:p>
          <w:p w14:paraId="3727EE9D">
            <w:pPr>
              <w:pStyle w:val="27"/>
              <w:keepNext w:val="0"/>
              <w:keepLines w:val="0"/>
              <w:pageBreakBefore w:val="0"/>
              <w:widowControl w:val="0"/>
              <w:kinsoku/>
              <w:wordWrap/>
              <w:overflowPunct/>
              <w:topLinePunct w:val="0"/>
              <w:bidi w:val="0"/>
              <w:adjustRightInd/>
              <w:spacing w:line="38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color w:val="auto"/>
                <w:highlight w:val="none"/>
                <w:lang w:eastAsia="zh-CN"/>
              </w:rPr>
              <w:t>GXGL2025S-C567-Z（2）</w:t>
            </w:r>
          </w:p>
        </w:tc>
      </w:tr>
      <w:tr w14:paraId="2EB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F397487">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2</w:t>
            </w:r>
          </w:p>
        </w:tc>
        <w:tc>
          <w:tcPr>
            <w:tcW w:w="945" w:type="dxa"/>
            <w:noWrap w:val="0"/>
            <w:vAlign w:val="center"/>
          </w:tcPr>
          <w:p w14:paraId="26790B78">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3</w:t>
            </w:r>
          </w:p>
        </w:tc>
        <w:tc>
          <w:tcPr>
            <w:tcW w:w="8106" w:type="dxa"/>
            <w:noWrap w:val="0"/>
            <w:vAlign w:val="center"/>
          </w:tcPr>
          <w:p w14:paraId="144B5207">
            <w:pPr>
              <w:pStyle w:val="27"/>
              <w:keepNext w:val="0"/>
              <w:keepLines w:val="0"/>
              <w:pageBreakBefore w:val="0"/>
              <w:widowControl w:val="0"/>
              <w:kinsoku/>
              <w:wordWrap/>
              <w:overflowPunct/>
              <w:topLinePunct w:val="0"/>
              <w:bidi w:val="0"/>
              <w:adjustRightInd/>
              <w:spacing w:line="380" w:lineRule="exact"/>
              <w:ind w:left="-36" w:firstLine="36"/>
              <w:rPr>
                <w:rFonts w:hint="eastAsia"/>
                <w:color w:val="auto"/>
                <w:highlight w:val="none"/>
              </w:rPr>
            </w:pPr>
            <w:r>
              <w:rPr>
                <w:rFonts w:hint="eastAsia"/>
                <w:color w:val="auto"/>
                <w:highlight w:val="none"/>
              </w:rPr>
              <w:t>供应商资格：按第一章磋商公告第二条规定。</w:t>
            </w:r>
          </w:p>
        </w:tc>
      </w:tr>
      <w:tr w14:paraId="5FCB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186C865">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3</w:t>
            </w:r>
          </w:p>
        </w:tc>
        <w:tc>
          <w:tcPr>
            <w:tcW w:w="945" w:type="dxa"/>
            <w:noWrap w:val="0"/>
            <w:vAlign w:val="center"/>
          </w:tcPr>
          <w:p w14:paraId="2E94A45C">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7.4</w:t>
            </w:r>
          </w:p>
        </w:tc>
        <w:tc>
          <w:tcPr>
            <w:tcW w:w="8106" w:type="dxa"/>
            <w:noWrap w:val="0"/>
            <w:vAlign w:val="center"/>
          </w:tcPr>
          <w:p w14:paraId="2C13A1ED">
            <w:pPr>
              <w:keepNext w:val="0"/>
              <w:keepLines w:val="0"/>
              <w:pageBreakBefore w:val="0"/>
              <w:widowControl w:val="0"/>
              <w:kinsoku/>
              <w:wordWrap/>
              <w:overflowPunct/>
              <w:topLinePunct w:val="0"/>
              <w:bidi w:val="0"/>
              <w:adjustRightInd/>
              <w:spacing w:line="380" w:lineRule="exac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36E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65762ED0">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4</w:t>
            </w:r>
          </w:p>
        </w:tc>
        <w:tc>
          <w:tcPr>
            <w:tcW w:w="945" w:type="dxa"/>
            <w:noWrap w:val="0"/>
            <w:vAlign w:val="center"/>
          </w:tcPr>
          <w:p w14:paraId="3A087826">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19.1</w:t>
            </w:r>
          </w:p>
        </w:tc>
        <w:tc>
          <w:tcPr>
            <w:tcW w:w="8106" w:type="dxa"/>
            <w:noWrap w:val="0"/>
            <w:vAlign w:val="center"/>
          </w:tcPr>
          <w:p w14:paraId="670170D9">
            <w:pPr>
              <w:keepNext w:val="0"/>
              <w:keepLines w:val="0"/>
              <w:pageBreakBefore w:val="0"/>
              <w:widowControl w:val="0"/>
              <w:kinsoku/>
              <w:wordWrap/>
              <w:overflowPunct/>
              <w:topLinePunct w:val="0"/>
              <w:bidi w:val="0"/>
              <w:adjustRightInd/>
              <w:spacing w:line="380" w:lineRule="exact"/>
              <w:rPr>
                <w:rFonts w:hint="eastAsia" w:ascii="宋体" w:hAnsi="宋体"/>
                <w:color w:val="auto"/>
                <w:highlight w:val="none"/>
              </w:rPr>
            </w:pPr>
            <w:r>
              <w:rPr>
                <w:rFonts w:hint="eastAsia" w:ascii="宋体" w:hAnsi="宋体"/>
                <w:color w:val="auto"/>
                <w:highlight w:val="none"/>
              </w:rPr>
              <w:t>成交服务费：本项目的成交服务费按本须知1</w:t>
            </w:r>
            <w:r>
              <w:rPr>
                <w:rFonts w:hint="eastAsia" w:ascii="宋体" w:hAnsi="宋体"/>
                <w:color w:val="auto"/>
                <w:highlight w:val="none"/>
                <w:lang w:val="en-US" w:eastAsia="zh-CN"/>
              </w:rPr>
              <w:t>9</w:t>
            </w:r>
            <w:r>
              <w:rPr>
                <w:rFonts w:hint="eastAsia" w:ascii="宋体" w:hAnsi="宋体"/>
                <w:color w:val="auto"/>
                <w:highlight w:val="none"/>
              </w:rPr>
              <w:t>.1款规定的标准采用差额定率累进计费方式计取，由成交供应商在发布成交结果公告后，一次性向采购代理机构支付。</w:t>
            </w:r>
          </w:p>
        </w:tc>
      </w:tr>
      <w:tr w14:paraId="0D2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5EA7DF34">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5</w:t>
            </w:r>
          </w:p>
        </w:tc>
        <w:tc>
          <w:tcPr>
            <w:tcW w:w="945" w:type="dxa"/>
            <w:noWrap w:val="0"/>
            <w:vAlign w:val="center"/>
          </w:tcPr>
          <w:p w14:paraId="6AD2ED8D">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10.2</w:t>
            </w:r>
          </w:p>
        </w:tc>
        <w:tc>
          <w:tcPr>
            <w:tcW w:w="8106" w:type="dxa"/>
            <w:noWrap w:val="0"/>
            <w:vAlign w:val="center"/>
          </w:tcPr>
          <w:p w14:paraId="07A2F312">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color w:val="auto"/>
                <w:highlight w:val="none"/>
                <w:u w:val="none"/>
              </w:rPr>
              <w:t>响应文件份数：正本一份，副本四份</w:t>
            </w:r>
            <w:r>
              <w:rPr>
                <w:rFonts w:hint="eastAsia" w:hAnsi="宋体"/>
                <w:color w:val="auto"/>
                <w:highlight w:val="none"/>
                <w:u w:val="none"/>
              </w:rPr>
              <w:t>。供应商在递交响应文件时，同时递交响应文件电子版。</w:t>
            </w:r>
          </w:p>
          <w:p w14:paraId="3CB91725">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1</w:t>
            </w:r>
            <w:r>
              <w:rPr>
                <w:rFonts w:hint="eastAsia" w:hAnsi="宋体"/>
                <w:color w:val="auto"/>
                <w:highlight w:val="none"/>
                <w:u w:val="none"/>
                <w:lang w:val="en-US" w:eastAsia="zh-CN"/>
              </w:rPr>
              <w:t>.</w:t>
            </w:r>
            <w:r>
              <w:rPr>
                <w:rFonts w:hint="eastAsia" w:hAnsi="宋体"/>
                <w:color w:val="auto"/>
                <w:highlight w:val="none"/>
                <w:u w:val="none"/>
              </w:rPr>
              <w:t>响应文件电子版份数：1份。</w:t>
            </w:r>
          </w:p>
          <w:p w14:paraId="4B19DF11">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2</w:t>
            </w:r>
            <w:r>
              <w:rPr>
                <w:rFonts w:hint="eastAsia" w:hAnsi="宋体"/>
                <w:color w:val="auto"/>
                <w:highlight w:val="none"/>
                <w:u w:val="none"/>
                <w:lang w:val="en-US" w:eastAsia="zh-CN"/>
              </w:rPr>
              <w:t>.</w:t>
            </w:r>
            <w:r>
              <w:rPr>
                <w:rFonts w:hint="eastAsia" w:hAnsi="宋体"/>
                <w:color w:val="auto"/>
                <w:highlight w:val="none"/>
                <w:u w:val="none"/>
              </w:rPr>
              <w:t>响应文件电子版形式：签字盖章的</w:t>
            </w:r>
            <w:r>
              <w:rPr>
                <w:rFonts w:hint="eastAsia" w:hAnsi="宋体"/>
                <w:color w:val="auto"/>
                <w:highlight w:val="none"/>
                <w:u w:val="none"/>
                <w:lang w:val="en-US" w:eastAsia="zh-CN"/>
              </w:rPr>
              <w:t>全套响应文件</w:t>
            </w:r>
            <w:r>
              <w:rPr>
                <w:rFonts w:hint="eastAsia" w:hAnsi="宋体"/>
                <w:color w:val="auto"/>
                <w:highlight w:val="none"/>
                <w:u w:val="none"/>
              </w:rPr>
              <w:t>PDF扫描件</w:t>
            </w:r>
            <w:r>
              <w:rPr>
                <w:rFonts w:hint="eastAsia" w:hAnsi="宋体"/>
                <w:color w:val="auto"/>
                <w:highlight w:val="none"/>
                <w:u w:val="none"/>
                <w:lang w:val="en-US" w:eastAsia="zh-CN"/>
              </w:rPr>
              <w:t>、</w:t>
            </w:r>
            <w:r>
              <w:rPr>
                <w:rFonts w:hint="eastAsia" w:hAnsi="宋体"/>
                <w:color w:val="auto"/>
                <w:highlight w:val="none"/>
                <w:u w:val="none"/>
              </w:rPr>
              <w:t>可编辑的Word文档</w:t>
            </w:r>
            <w:r>
              <w:rPr>
                <w:rFonts w:hint="eastAsia" w:hAnsi="宋体"/>
                <w:color w:val="auto"/>
                <w:highlight w:val="none"/>
                <w:u w:val="none"/>
                <w:lang w:eastAsia="zh-CN"/>
              </w:rPr>
              <w:t>、</w:t>
            </w:r>
            <w:r>
              <w:rPr>
                <w:rFonts w:hint="eastAsia" w:hAnsi="宋体"/>
                <w:color w:val="auto"/>
                <w:highlight w:val="none"/>
                <w:u w:val="none"/>
              </w:rPr>
              <w:t>可编辑的Excel</w:t>
            </w:r>
            <w:r>
              <w:rPr>
                <w:rFonts w:hint="eastAsia" w:hAnsi="宋体"/>
                <w:color w:val="auto"/>
                <w:highlight w:val="none"/>
                <w:u w:val="none"/>
                <w:lang w:val="en-US" w:eastAsia="zh-CN"/>
              </w:rPr>
              <w:t>文件（如有）。</w:t>
            </w:r>
          </w:p>
          <w:p w14:paraId="593C2481">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3</w:t>
            </w:r>
            <w:r>
              <w:rPr>
                <w:rFonts w:hint="eastAsia" w:hAnsi="宋体"/>
                <w:color w:val="auto"/>
                <w:highlight w:val="none"/>
                <w:u w:val="none"/>
                <w:lang w:val="en-US" w:eastAsia="zh-CN"/>
              </w:rPr>
              <w:t>.</w:t>
            </w:r>
            <w:r>
              <w:rPr>
                <w:rFonts w:hint="eastAsia" w:hAnsi="宋体"/>
                <w:color w:val="auto"/>
                <w:highlight w:val="none"/>
                <w:u w:val="none"/>
              </w:rPr>
              <w:t>响应文件电子版密封方式：将响应文件电子版U盘与纸质版响应文件一并装入响应文件袋中。</w:t>
            </w:r>
          </w:p>
        </w:tc>
      </w:tr>
      <w:tr w14:paraId="71B9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B2390BE">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6</w:t>
            </w:r>
          </w:p>
        </w:tc>
        <w:tc>
          <w:tcPr>
            <w:tcW w:w="945" w:type="dxa"/>
            <w:noWrap w:val="0"/>
            <w:vAlign w:val="center"/>
          </w:tcPr>
          <w:p w14:paraId="1A5C647A">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11.1</w:t>
            </w:r>
          </w:p>
          <w:p w14:paraId="63884972">
            <w:pPr>
              <w:pStyle w:val="11"/>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11.2</w:t>
            </w:r>
          </w:p>
        </w:tc>
        <w:tc>
          <w:tcPr>
            <w:tcW w:w="8106" w:type="dxa"/>
            <w:noWrap w:val="0"/>
            <w:vAlign w:val="center"/>
          </w:tcPr>
          <w:p w14:paraId="705C7592">
            <w:pPr>
              <w:pStyle w:val="27"/>
              <w:keepNext w:val="0"/>
              <w:keepLines w:val="0"/>
              <w:pageBreakBefore w:val="0"/>
              <w:widowControl w:val="0"/>
              <w:kinsoku/>
              <w:wordWrap/>
              <w:overflowPunct/>
              <w:topLinePunct w:val="0"/>
              <w:bidi w:val="0"/>
              <w:adjustRightInd/>
              <w:spacing w:line="380" w:lineRule="exac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详见磋商公告</w:t>
            </w:r>
          </w:p>
          <w:p w14:paraId="511D563B">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详见磋商公告</w:t>
            </w:r>
          </w:p>
        </w:tc>
      </w:tr>
      <w:tr w14:paraId="5A42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5E389046">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7</w:t>
            </w:r>
          </w:p>
        </w:tc>
        <w:tc>
          <w:tcPr>
            <w:tcW w:w="945" w:type="dxa"/>
            <w:noWrap w:val="0"/>
            <w:vAlign w:val="center"/>
          </w:tcPr>
          <w:p w14:paraId="7606C9F4">
            <w:pPr>
              <w:pStyle w:val="11"/>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8.1</w:t>
            </w:r>
          </w:p>
        </w:tc>
        <w:tc>
          <w:tcPr>
            <w:tcW w:w="8106" w:type="dxa"/>
            <w:noWrap w:val="0"/>
            <w:vAlign w:val="center"/>
          </w:tcPr>
          <w:p w14:paraId="22F63F37">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竞争性磋商响应文件有效期：响应文件递交截止日期后六十日。</w:t>
            </w:r>
          </w:p>
          <w:p w14:paraId="49346540">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未成交的响应文件有效期内均应保持有效。</w:t>
            </w:r>
          </w:p>
          <w:p w14:paraId="6C5752A9">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成交供应商的响应文件有效期自响应文件提交截止之日起至合同履行完毕止均应保持有效。</w:t>
            </w:r>
          </w:p>
        </w:tc>
      </w:tr>
      <w:tr w14:paraId="33C4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C7BB99A">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8</w:t>
            </w:r>
          </w:p>
        </w:tc>
        <w:tc>
          <w:tcPr>
            <w:tcW w:w="945" w:type="dxa"/>
            <w:noWrap w:val="0"/>
            <w:vAlign w:val="center"/>
          </w:tcPr>
          <w:p w14:paraId="75B5DB77">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13.1</w:t>
            </w:r>
          </w:p>
        </w:tc>
        <w:tc>
          <w:tcPr>
            <w:tcW w:w="8106" w:type="dxa"/>
            <w:noWrap w:val="0"/>
            <w:vAlign w:val="center"/>
          </w:tcPr>
          <w:p w14:paraId="0282ED56">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详见磋商公告</w:t>
            </w:r>
          </w:p>
        </w:tc>
      </w:tr>
      <w:tr w14:paraId="703E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4BE8914B">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9</w:t>
            </w:r>
          </w:p>
        </w:tc>
        <w:tc>
          <w:tcPr>
            <w:tcW w:w="945" w:type="dxa"/>
            <w:noWrap w:val="0"/>
            <w:vAlign w:val="center"/>
          </w:tcPr>
          <w:p w14:paraId="0F4F5077">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14.1</w:t>
            </w:r>
          </w:p>
        </w:tc>
        <w:tc>
          <w:tcPr>
            <w:tcW w:w="8106" w:type="dxa"/>
            <w:noWrap w:val="0"/>
            <w:vAlign w:val="center"/>
          </w:tcPr>
          <w:p w14:paraId="424C8B7A">
            <w:pPr>
              <w:pStyle w:val="27"/>
              <w:keepNext w:val="0"/>
              <w:keepLines w:val="0"/>
              <w:pageBreakBefore w:val="0"/>
              <w:widowControl w:val="0"/>
              <w:kinsoku/>
              <w:wordWrap/>
              <w:overflowPunct/>
              <w:topLinePunct w:val="0"/>
              <w:bidi w:val="0"/>
              <w:adjustRightInd/>
              <w:spacing w:line="380" w:lineRule="exac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详见磋商公告</w:t>
            </w:r>
          </w:p>
          <w:p w14:paraId="72231C55">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bCs/>
                <w:color w:val="auto"/>
                <w:highlight w:val="none"/>
              </w:rPr>
              <w:t>磋商地点：</w:t>
            </w:r>
            <w:r>
              <w:rPr>
                <w:rFonts w:hint="eastAsia"/>
                <w:color w:val="auto"/>
                <w:highlight w:val="none"/>
                <w:u w:val="single"/>
              </w:rPr>
              <w:t>详见磋商公告</w:t>
            </w:r>
          </w:p>
        </w:tc>
      </w:tr>
      <w:tr w14:paraId="6317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F4D6851">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10</w:t>
            </w:r>
          </w:p>
        </w:tc>
        <w:tc>
          <w:tcPr>
            <w:tcW w:w="945" w:type="dxa"/>
            <w:noWrap w:val="0"/>
            <w:vAlign w:val="center"/>
          </w:tcPr>
          <w:p w14:paraId="7D1B6D0A">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14.6</w:t>
            </w:r>
          </w:p>
        </w:tc>
        <w:tc>
          <w:tcPr>
            <w:tcW w:w="8106" w:type="dxa"/>
            <w:noWrap w:val="0"/>
            <w:vAlign w:val="center"/>
          </w:tcPr>
          <w:p w14:paraId="45241A13">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评标方法：综合评分法（详细见第六章）</w:t>
            </w:r>
          </w:p>
        </w:tc>
      </w:tr>
      <w:tr w14:paraId="42EA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4347285B">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11</w:t>
            </w:r>
          </w:p>
        </w:tc>
        <w:tc>
          <w:tcPr>
            <w:tcW w:w="945" w:type="dxa"/>
            <w:noWrap w:val="0"/>
            <w:vAlign w:val="center"/>
          </w:tcPr>
          <w:p w14:paraId="5E8B5589">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2C45A4A5">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采购人或采购代理机构在资格审查结束前对供应商进行信用查询</w:t>
            </w:r>
          </w:p>
          <w:p w14:paraId="2E38FF94">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查询渠道：“信用中国”网站(www.creditchina.gov.cn) 、中国政府采购网(www.ccgp.gov.cn)</w:t>
            </w:r>
          </w:p>
          <w:p w14:paraId="277BD2D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查询截止时间：资格审查结束前。</w:t>
            </w:r>
          </w:p>
          <w:p w14:paraId="198FC677">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查询记录和证据留存方式：在查询网站中直接打印查询记录，打印材料作为评审资料保存。</w:t>
            </w:r>
          </w:p>
          <w:p w14:paraId="02DA61AB">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color w:val="auto"/>
                <w:highlight w:val="none"/>
              </w:rPr>
            </w:pPr>
            <w:r>
              <w:rPr>
                <w:rFonts w:hint="eastAsia" w:asci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采购活动。</w:t>
            </w:r>
          </w:p>
        </w:tc>
      </w:tr>
      <w:tr w14:paraId="2B5B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727BAEE7">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12</w:t>
            </w:r>
          </w:p>
        </w:tc>
        <w:tc>
          <w:tcPr>
            <w:tcW w:w="945" w:type="dxa"/>
            <w:noWrap w:val="0"/>
            <w:vAlign w:val="center"/>
          </w:tcPr>
          <w:p w14:paraId="309E64A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17.4</w:t>
            </w:r>
          </w:p>
        </w:tc>
        <w:tc>
          <w:tcPr>
            <w:tcW w:w="8106" w:type="dxa"/>
            <w:noWrap w:val="0"/>
            <w:vAlign w:val="center"/>
          </w:tcPr>
          <w:p w14:paraId="3CF0F2D8">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default" w:ascii="宋体"/>
                <w:color w:val="auto"/>
                <w:szCs w:val="21"/>
                <w:highlight w:val="none"/>
                <w:lang w:val="en-US"/>
              </w:rPr>
            </w:pPr>
            <w:r>
              <w:rPr>
                <w:rFonts w:hint="eastAsia" w:ascii="宋体"/>
                <w:color w:val="auto"/>
                <w:szCs w:val="21"/>
                <w:highlight w:val="none"/>
              </w:rPr>
              <w:t>履约保证金金额：</w:t>
            </w:r>
            <w:r>
              <w:rPr>
                <w:rFonts w:hint="eastAsia"/>
                <w:color w:val="auto"/>
                <w:szCs w:val="21"/>
                <w:highlight w:val="none"/>
                <w:lang w:val="en-US" w:eastAsia="zh-CN"/>
              </w:rPr>
              <w:t>3.6万元</w:t>
            </w:r>
          </w:p>
          <w:p w14:paraId="4C64EB5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履约保证金提交方式：支票、汇票、本票、网上银行或者银行保函等非现金形式。</w:t>
            </w:r>
          </w:p>
          <w:p w14:paraId="4795288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履约保证金指定账户：</w:t>
            </w:r>
          </w:p>
          <w:p w14:paraId="3F93D586">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开户名：广西财经学院</w:t>
            </w:r>
          </w:p>
          <w:p w14:paraId="5FC703A6">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开户行：中国银行南宁明秀西路支行</w:t>
            </w:r>
          </w:p>
          <w:p w14:paraId="58074F6C">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账  号：611957485481</w:t>
            </w:r>
          </w:p>
        </w:tc>
      </w:tr>
      <w:tr w14:paraId="06CB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67B22F9">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jc w:val="center"/>
              <w:textAlignment w:val="auto"/>
              <w:rPr>
                <w:rFonts w:hint="default" w:eastAsia="宋体"/>
                <w:color w:val="auto"/>
                <w:highlight w:val="none"/>
                <w:lang w:val="en-US" w:eastAsia="zh-CN"/>
              </w:rPr>
            </w:pPr>
            <w:r>
              <w:rPr>
                <w:rFonts w:hint="eastAsia"/>
                <w:color w:val="auto"/>
                <w:highlight w:val="none"/>
                <w:lang w:val="en-US" w:eastAsia="zh-CN"/>
              </w:rPr>
              <w:t>13</w:t>
            </w:r>
          </w:p>
        </w:tc>
        <w:tc>
          <w:tcPr>
            <w:tcW w:w="945" w:type="dxa"/>
            <w:noWrap w:val="0"/>
            <w:vAlign w:val="center"/>
          </w:tcPr>
          <w:p w14:paraId="524768D4">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17D57A5F">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79152700">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本文件中描述供应商的“签字”是指供应商的法定代表人或被授权人亲自在文件规定签署处亲笔写上个人的名字的行为，私章、签字章、电子签名、印鉴、影印等其它形式均不能代替亲笔签字。</w:t>
            </w:r>
          </w:p>
        </w:tc>
      </w:tr>
    </w:tbl>
    <w:p w14:paraId="7E22E314">
      <w:pPr>
        <w:keepNext w:val="0"/>
        <w:keepLines w:val="0"/>
        <w:pageBreakBefore w:val="0"/>
        <w:widowControl w:val="0"/>
        <w:kinsoku/>
        <w:wordWrap/>
        <w:overflowPunct/>
        <w:topLinePunct w:val="0"/>
        <w:bidi w:val="0"/>
        <w:adjustRightInd/>
        <w:spacing w:line="380" w:lineRule="exact"/>
        <w:jc w:val="center"/>
        <w:rPr>
          <w:rFonts w:hint="eastAsia" w:ascii="仿宋_GB2312" w:hAnsi="宋体" w:eastAsia="仿宋_GB2312"/>
          <w:b/>
          <w:color w:val="auto"/>
          <w:sz w:val="32"/>
          <w:szCs w:val="32"/>
          <w:highlight w:val="none"/>
        </w:rPr>
      </w:pPr>
    </w:p>
    <w:p w14:paraId="43E3E6E1">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1B595608">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一、总　则</w:t>
      </w:r>
    </w:p>
    <w:p w14:paraId="762CC04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适用范围</w:t>
      </w:r>
    </w:p>
    <w:p w14:paraId="41BD911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采购项目。</w:t>
      </w:r>
    </w:p>
    <w:p w14:paraId="13F8137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定义</w:t>
      </w:r>
    </w:p>
    <w:p w14:paraId="1030D93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lang w:eastAsia="zh-CN"/>
        </w:rPr>
        <w:t>广西财经学院</w:t>
      </w:r>
      <w:r>
        <w:rPr>
          <w:rFonts w:hint="eastAsia" w:ascii="宋体" w:hAnsi="宋体"/>
          <w:color w:val="auto"/>
          <w:szCs w:val="21"/>
          <w:highlight w:val="none"/>
        </w:rPr>
        <w:t>。</w:t>
      </w:r>
    </w:p>
    <w:p w14:paraId="559F71E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eastAsia="宋体" w:cs="Times New Roman"/>
          <w:color w:val="auto"/>
          <w:highlight w:val="none"/>
          <w:lang w:val="en-US" w:eastAsia="zh-CN"/>
        </w:rPr>
        <w:t>“采购代理机构”是指：广西国力招标有限公司</w:t>
      </w:r>
      <w:r>
        <w:rPr>
          <w:rFonts w:hint="eastAsia"/>
          <w:color w:val="auto"/>
          <w:highlight w:val="none"/>
        </w:rPr>
        <w:t>。</w:t>
      </w:r>
    </w:p>
    <w:p w14:paraId="2026686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434BF83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3077E7A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2.5“服务”是指除货物和工程以外的其他采购对象。</w:t>
      </w:r>
    </w:p>
    <w:p w14:paraId="7E5BC52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36B480BE">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37658D6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磋商费用、代理服务费</w:t>
      </w:r>
    </w:p>
    <w:p w14:paraId="2B710FF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在任何情况下无义务和责任承担此类费用。</w:t>
      </w:r>
    </w:p>
    <w:p w14:paraId="72F531E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9A62D3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1D4079B1">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99F73BA">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25C2EA8D">
      <w:pPr>
        <w:keepNext w:val="0"/>
        <w:keepLines w:val="0"/>
        <w:pageBreakBefore w:val="0"/>
        <w:widowControl/>
        <w:kinsoku w:val="0"/>
        <w:wordWrap/>
        <w:overflowPunct/>
        <w:topLinePunct w:val="0"/>
        <w:autoSpaceDE w:val="0"/>
        <w:autoSpaceDN w:val="0"/>
        <w:bidi w:val="0"/>
        <w:adjustRightInd w:val="0"/>
        <w:snapToGrid w:val="0"/>
        <w:spacing w:before="29" w:line="440" w:lineRule="exact"/>
        <w:ind w:left="37" w:firstLine="42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color w:val="auto"/>
          <w:szCs w:val="20"/>
          <w:highlight w:val="none"/>
        </w:rPr>
        <w:t>5.3</w:t>
      </w:r>
      <w:r>
        <w:rPr>
          <w:rFonts w:hint="eastAsia" w:ascii="宋体" w:hAnsi="宋体"/>
          <w:color w:val="auto"/>
          <w:szCs w:val="20"/>
          <w:highlight w:val="none"/>
          <w:lang w:val="en-US" w:eastAsia="zh-CN"/>
        </w:rPr>
        <w:t xml:space="preserve"> </w:t>
      </w:r>
      <w:r>
        <w:rPr>
          <w:rFonts w:hint="eastAsia" w:ascii="宋体" w:hAnsi="宋体" w:eastAsia="宋体" w:cs="宋体"/>
          <w:color w:val="auto"/>
          <w:spacing w:val="-1"/>
          <w:sz w:val="21"/>
          <w:szCs w:val="21"/>
          <w:highlight w:val="none"/>
          <w:lang w:val="en-US" w:eastAsia="zh-CN"/>
        </w:rPr>
        <w:t>各供应商应及时在网上查询</w:t>
      </w:r>
      <w:r>
        <w:rPr>
          <w:rFonts w:hint="eastAsia" w:hAnsi="宋体"/>
          <w:color w:val="auto"/>
          <w:highlight w:val="none"/>
        </w:rPr>
        <w:t>澄清答复（或补充通知、更改通知等）</w:t>
      </w:r>
      <w:r>
        <w:rPr>
          <w:rFonts w:hint="eastAsia" w:ascii="宋体" w:hAnsi="宋体" w:eastAsia="宋体" w:cs="宋体"/>
          <w:color w:val="auto"/>
          <w:spacing w:val="-1"/>
          <w:sz w:val="21"/>
          <w:szCs w:val="21"/>
          <w:highlight w:val="none"/>
          <w:lang w:val="en-US" w:eastAsia="zh-CN"/>
        </w:rPr>
        <w:t>公告，</w:t>
      </w:r>
      <w:r>
        <w:rPr>
          <w:rFonts w:hint="eastAsia" w:hAnsi="宋体"/>
          <w:color w:val="auto"/>
          <w:highlight w:val="none"/>
        </w:rPr>
        <w:t>澄清或修改的内容为竞争性磋商文件的组成部分。澄清答复（或补充通知、更改通知等）</w:t>
      </w:r>
      <w:r>
        <w:rPr>
          <w:rFonts w:ascii="宋体" w:hAnsi="宋体"/>
          <w:color w:val="auto"/>
          <w:highlight w:val="none"/>
        </w:rPr>
        <w:t>在</w:t>
      </w:r>
      <w:r>
        <w:rPr>
          <w:rFonts w:hint="eastAsia" w:ascii="宋体" w:hAnsi="宋体"/>
          <w:color w:val="auto"/>
          <w:highlight w:val="none"/>
          <w:lang w:val="en-US" w:eastAsia="zh-CN"/>
        </w:rPr>
        <w:t>发布采购公告的同一媒介</w:t>
      </w:r>
      <w:r>
        <w:rPr>
          <w:rFonts w:ascii="宋体" w:hAnsi="宋体"/>
          <w:color w:val="auto"/>
          <w:highlight w:val="none"/>
        </w:rPr>
        <w:t>上发布之日起，视为</w:t>
      </w:r>
      <w:r>
        <w:rPr>
          <w:rFonts w:hint="eastAsia" w:ascii="宋体" w:hAnsi="宋体"/>
          <w:color w:val="auto"/>
          <w:highlight w:val="none"/>
          <w:lang w:val="en-US" w:eastAsia="zh-CN"/>
        </w:rPr>
        <w:t>竞</w:t>
      </w:r>
      <w:r>
        <w:rPr>
          <w:rFonts w:ascii="宋体" w:hAnsi="宋体"/>
          <w:color w:val="auto"/>
          <w:highlight w:val="none"/>
        </w:rPr>
        <w:t>标人已收到该澄清。</w:t>
      </w:r>
      <w:r>
        <w:rPr>
          <w:rFonts w:hint="eastAsia" w:ascii="宋体" w:hAnsi="宋体"/>
          <w:color w:val="auto"/>
          <w:highlight w:val="none"/>
          <w:lang w:val="en-US" w:eastAsia="zh-CN"/>
        </w:rPr>
        <w:t>竞</w:t>
      </w:r>
      <w:r>
        <w:rPr>
          <w:rFonts w:ascii="宋体" w:hAnsi="宋体"/>
          <w:color w:val="auto"/>
          <w:highlight w:val="none"/>
        </w:rPr>
        <w:t>标人未及时关注在网站上发布的澄清文件造成的损失，由</w:t>
      </w:r>
      <w:r>
        <w:rPr>
          <w:rFonts w:hint="eastAsia" w:ascii="宋体" w:hAnsi="宋体"/>
          <w:color w:val="auto"/>
          <w:highlight w:val="none"/>
          <w:lang w:val="en-US" w:eastAsia="zh-CN"/>
        </w:rPr>
        <w:t>竞</w:t>
      </w:r>
      <w:r>
        <w:rPr>
          <w:rFonts w:ascii="宋体" w:hAnsi="宋体"/>
          <w:color w:val="auto"/>
          <w:highlight w:val="none"/>
        </w:rPr>
        <w:t xml:space="preserve">标人自行负责。 </w:t>
      </w:r>
    </w:p>
    <w:p w14:paraId="1D27CDB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7C03A3D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2918BFA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6.1磋商供应商对竞争性磋商响应文件的编制应按要求装订和封装。</w:t>
      </w:r>
    </w:p>
    <w:p w14:paraId="7E5B9C2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6.2磋商供应商提交的竞争性磋商响应文件以及磋商供应商与</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2EF0AF1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6.3除技术要求中另有规定外，本文件所要求使用的计量单位均应采用国家法定计量单位。</w:t>
      </w:r>
    </w:p>
    <w:p w14:paraId="2FBAF4E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6.4磋商供应商应认真阅读、并充分理解本文件的全部内容（包括所有的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更改、补充、答疑等内容），承诺并履行本文件中各项条款规定及要求。</w:t>
      </w:r>
    </w:p>
    <w:p w14:paraId="4EC609E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6.5竞争性磋商响应文件必须按本文件的全部内容，包括所有的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更改、补充、答疑等内容及附件进行编制。</w:t>
      </w:r>
    </w:p>
    <w:p w14:paraId="395F0F3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6.6如因磋商供应商只填写和提供了本文件要求的部分内容和附件，而给磋商小组评审造成困难，其可能导致的结果和责任由磋商供应商自行承担。</w:t>
      </w:r>
    </w:p>
    <w:p w14:paraId="47FE69F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6.7竞争性磋商响应文件的组成：竞争性磋商响应文件应由价格文件和商务技术文件两个部分组成</w:t>
      </w:r>
      <w:r>
        <w:rPr>
          <w:rFonts w:hint="eastAsia" w:ascii="宋体" w:hAnsi="宋体" w:cs="Arial"/>
          <w:color w:val="auto"/>
          <w:szCs w:val="21"/>
          <w:highlight w:val="none"/>
        </w:rPr>
        <w:t>（要求装订成一本）</w:t>
      </w:r>
      <w:r>
        <w:rPr>
          <w:rFonts w:hint="eastAsia" w:ascii="宋体" w:hAnsi="宋体"/>
          <w:color w:val="auto"/>
          <w:szCs w:val="21"/>
          <w:highlight w:val="none"/>
        </w:rPr>
        <w:t>。</w:t>
      </w:r>
    </w:p>
    <w:p w14:paraId="69D99F68">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6.7.1第一部分：价格文件</w:t>
      </w:r>
    </w:p>
    <w:p w14:paraId="0E4A419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1）报价表；（附件一）</w:t>
      </w:r>
      <w:r>
        <w:rPr>
          <w:rFonts w:hint="eastAsia" w:ascii="宋体" w:hAnsi="宋体"/>
          <w:b/>
          <w:color w:val="auto"/>
          <w:szCs w:val="21"/>
          <w:highlight w:val="none"/>
        </w:rPr>
        <w:t>[必须提供]</w:t>
      </w:r>
    </w:p>
    <w:p w14:paraId="49D103D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以上文件均须加盖磋商供应商单位公章；应该有的必须提供，如未提供，磋商小组有权拒绝其响应文件。</w:t>
      </w:r>
    </w:p>
    <w:p w14:paraId="234B17BA">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6.7.2 第二部分：商务技术文件</w:t>
      </w:r>
      <w:r>
        <w:rPr>
          <w:rFonts w:hint="eastAsia" w:ascii="宋体" w:hAnsi="宋体"/>
          <w:color w:val="auto"/>
          <w:szCs w:val="21"/>
          <w:highlight w:val="none"/>
        </w:rPr>
        <w:t>（以下文件要求必须提供的文件应加盖公章按要求提供，否则竞标无效。）</w:t>
      </w:r>
    </w:p>
    <w:p w14:paraId="368F7D7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1）磋商书及磋商声明书；（附件二）</w:t>
      </w:r>
      <w:r>
        <w:rPr>
          <w:rFonts w:hint="eastAsia" w:ascii="宋体" w:hAnsi="宋体"/>
          <w:b/>
          <w:color w:val="auto"/>
          <w:szCs w:val="21"/>
          <w:highlight w:val="none"/>
        </w:rPr>
        <w:t>[必须提供]</w:t>
      </w:r>
    </w:p>
    <w:p w14:paraId="6C044E7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2）商务、服务响应、偏离情况说明表；（附件三）</w:t>
      </w:r>
      <w:r>
        <w:rPr>
          <w:rFonts w:hint="eastAsia" w:ascii="宋体" w:hAnsi="宋体"/>
          <w:b/>
          <w:color w:val="auto"/>
          <w:szCs w:val="21"/>
          <w:highlight w:val="none"/>
        </w:rPr>
        <w:t>[必须提供]</w:t>
      </w:r>
    </w:p>
    <w:p w14:paraId="03546A87">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3）法定代表人身份证正、反面复印件；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5B23872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4）法定代表人授权委托书原件</w:t>
      </w:r>
      <w:r>
        <w:rPr>
          <w:rFonts w:hint="eastAsia" w:ascii="宋体" w:hAnsi="宋体"/>
          <w:color w:val="auto"/>
          <w:highlight w:val="none"/>
        </w:rPr>
        <w:t>和委托代理人身份证正、反面复印件</w:t>
      </w:r>
      <w:r>
        <w:rPr>
          <w:rFonts w:hint="eastAsia" w:ascii="宋体" w:hAnsi="宋体"/>
          <w:color w:val="auto"/>
          <w:szCs w:val="21"/>
          <w:highlight w:val="none"/>
        </w:rPr>
        <w:t>；（附件四）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6839D4C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5）有效的</w:t>
      </w:r>
      <w:r>
        <w:rPr>
          <w:rFonts w:hint="eastAsia" w:ascii="宋体" w:hAnsi="宋体"/>
          <w:color w:val="auto"/>
          <w:highlight w:val="none"/>
        </w:rPr>
        <w:t>主体资格</w:t>
      </w:r>
      <w:r>
        <w:rPr>
          <w:rFonts w:hint="eastAsia" w:ascii="宋体" w:hAnsi="宋体"/>
          <w:color w:val="auto"/>
          <w:szCs w:val="21"/>
          <w:highlight w:val="none"/>
        </w:rPr>
        <w:t>证明文件复印件；</w:t>
      </w:r>
    </w:p>
    <w:p w14:paraId="034D3F7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hAnsi="宋体"/>
          <w:b/>
          <w:color w:val="auto"/>
          <w:highlight w:val="none"/>
        </w:rPr>
      </w:pPr>
      <w:r>
        <w:rPr>
          <w:rFonts w:hint="eastAsia" w:hAnsi="宋体"/>
          <w:bCs/>
          <w:color w:val="auto"/>
          <w:highlight w:val="none"/>
        </w:rPr>
        <w:t>①</w:t>
      </w: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0DCC28ED">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hAnsi="宋体"/>
          <w:b/>
          <w:bCs/>
          <w:color w:val="auto"/>
          <w:highlight w:val="none"/>
        </w:rPr>
        <w:t>②</w:t>
      </w:r>
      <w:r>
        <w:rPr>
          <w:rFonts w:hint="eastAsia" w:hAnsi="宋体"/>
          <w:b/>
          <w:bCs/>
          <w:color w:val="auto"/>
          <w:highlight w:val="none"/>
          <w:lang w:val="en-US" w:eastAsia="zh-CN"/>
        </w:rPr>
        <w:t>供应商</w:t>
      </w:r>
      <w:r>
        <w:rPr>
          <w:rFonts w:hint="eastAsia" w:ascii="宋体" w:hAnsi="宋体"/>
          <w:b/>
          <w:color w:val="auto"/>
          <w:highlight w:val="none"/>
          <w:lang w:val="en-US" w:eastAsia="zh-CN"/>
        </w:rPr>
        <w:t>资质证书</w:t>
      </w:r>
      <w:r>
        <w:rPr>
          <w:rFonts w:hint="eastAsia" w:ascii="宋体" w:hAnsi="宋体"/>
          <w:b/>
          <w:color w:val="auto"/>
          <w:highlight w:val="none"/>
        </w:rPr>
        <w:t>复印件，同时要加盖单位公章；</w:t>
      </w:r>
      <w:r>
        <w:rPr>
          <w:rFonts w:hint="eastAsia" w:ascii="宋体" w:hAnsi="宋体"/>
          <w:b/>
          <w:color w:val="auto"/>
          <w:szCs w:val="21"/>
          <w:highlight w:val="none"/>
        </w:rPr>
        <w:t>[必须提供]</w:t>
      </w:r>
    </w:p>
    <w:p w14:paraId="08F33EB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Ansi="宋体"/>
          <w:color w:val="auto"/>
          <w:highlight w:val="none"/>
        </w:rPr>
        <w:t>]</w:t>
      </w:r>
      <w:r>
        <w:rPr>
          <w:rFonts w:hint="eastAsia" w:ascii="宋体" w:hAnsi="宋体"/>
          <w:color w:val="auto"/>
          <w:szCs w:val="21"/>
          <w:highlight w:val="none"/>
        </w:rPr>
        <w:t xml:space="preserve"> </w:t>
      </w:r>
    </w:p>
    <w:p w14:paraId="27AD2080">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7）响应文件递交截止之日前</w:t>
      </w:r>
      <w:r>
        <w:rPr>
          <w:rFonts w:hint="eastAsia" w:ascii="宋体" w:hAnsi="宋体"/>
          <w:color w:val="auto"/>
          <w:szCs w:val="21"/>
          <w:highlight w:val="none"/>
          <w:lang w:val="en-US" w:eastAsia="zh-CN"/>
        </w:rPr>
        <w:t>半</w:t>
      </w:r>
      <w:r>
        <w:rPr>
          <w:rFonts w:hint="eastAsia" w:ascii="宋体" w:hAnsi="宋体"/>
          <w:color w:val="auto"/>
          <w:szCs w:val="21"/>
          <w:highlight w:val="none"/>
        </w:rPr>
        <w:t>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 xml:space="preserve">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（原件备查，必须提供，新成立单位按实际提供）</w:t>
      </w:r>
    </w:p>
    <w:p w14:paraId="3BC2208D">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8）响应文件递交截止之日前</w:t>
      </w:r>
      <w:r>
        <w:rPr>
          <w:rFonts w:hint="eastAsia" w:ascii="宋体" w:hAnsi="宋体"/>
          <w:color w:val="auto"/>
          <w:szCs w:val="21"/>
          <w:highlight w:val="none"/>
          <w:lang w:val="en-US" w:eastAsia="zh-CN"/>
        </w:rPr>
        <w:t>半</w:t>
      </w:r>
      <w:r>
        <w:rPr>
          <w:rFonts w:hint="eastAsia" w:ascii="宋体" w:hAnsi="宋体"/>
          <w:color w:val="auto"/>
          <w:szCs w:val="21"/>
          <w:highlight w:val="none"/>
        </w:rPr>
        <w:t>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无缴费记录的，应提供由磋商供应商所在地社保部门出具的《依法缴纳或依法免缴社保费证明》复印件；</w:t>
      </w:r>
      <w:r>
        <w:rPr>
          <w:rFonts w:hint="eastAsia" w:ascii="宋体" w:hAnsi="宋体"/>
          <w:b/>
          <w:color w:val="auto"/>
          <w:highlight w:val="none"/>
        </w:rPr>
        <w:t>（原件备查，必须提供，新成立单位按实际提供）</w:t>
      </w:r>
    </w:p>
    <w:p w14:paraId="4B874974">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9）</w:t>
      </w:r>
      <w:r>
        <w:rPr>
          <w:rFonts w:ascii="宋体" w:hAnsi="宋体" w:cs="宋体"/>
          <w:color w:val="auto"/>
          <w:kern w:val="0"/>
          <w:szCs w:val="21"/>
          <w:highlight w:val="none"/>
        </w:rPr>
        <w:t>参加采购活动前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048218F6">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b/>
          <w:color w:val="auto"/>
          <w:szCs w:val="21"/>
          <w:highlight w:val="none"/>
        </w:rPr>
      </w:pPr>
      <w:r>
        <w:rPr>
          <w:rFonts w:hint="eastAsia" w:ascii="宋体" w:hAnsi="宋体"/>
          <w:bCs/>
          <w:color w:val="auto"/>
          <w:szCs w:val="21"/>
          <w:highlight w:val="none"/>
        </w:rPr>
        <w:t>10）</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0E0F128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11）本采购项目《采购需求》中要求必须提交的材料；</w:t>
      </w:r>
      <w:r>
        <w:rPr>
          <w:rFonts w:hint="eastAsia" w:ascii="宋体" w:hAnsi="宋体"/>
          <w:b/>
          <w:color w:val="auto"/>
          <w:highlight w:val="none"/>
        </w:rPr>
        <w:t>[如有规定，则必须提供]</w:t>
      </w:r>
    </w:p>
    <w:p w14:paraId="4B44D59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）服务方案；</w:t>
      </w:r>
      <w:r>
        <w:rPr>
          <w:rFonts w:hint="eastAsia" w:ascii="宋体" w:hAnsi="宋体"/>
          <w:b/>
          <w:color w:val="auto"/>
          <w:szCs w:val="21"/>
          <w:highlight w:val="none"/>
        </w:rPr>
        <w:t>[</w:t>
      </w:r>
      <w:r>
        <w:rPr>
          <w:rFonts w:hint="eastAsia" w:ascii="宋体" w:hAnsi="宋体"/>
          <w:b/>
          <w:color w:val="auto"/>
          <w:highlight w:val="none"/>
        </w:rPr>
        <w:t>必须提供</w:t>
      </w:r>
      <w:r>
        <w:rPr>
          <w:rFonts w:hint="default" w:ascii="宋体" w:hAnsi="宋体"/>
          <w:b/>
          <w:color w:val="auto"/>
          <w:highlight w:val="none"/>
        </w:rPr>
        <w:t>，</w:t>
      </w:r>
      <w:r>
        <w:rPr>
          <w:rFonts w:hint="eastAsia" w:ascii="宋体" w:hAnsi="宋体"/>
          <w:b/>
          <w:color w:val="auto"/>
          <w:szCs w:val="21"/>
          <w:highlight w:val="none"/>
        </w:rPr>
        <w:t>格式自拟</w:t>
      </w:r>
      <w:r>
        <w:rPr>
          <w:rFonts w:ascii="宋体" w:hAnsi="宋体"/>
          <w:b/>
          <w:color w:val="auto"/>
          <w:highlight w:val="none"/>
        </w:rPr>
        <w:t>]</w:t>
      </w:r>
    </w:p>
    <w:p w14:paraId="14363AC8">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）具备法律、行政法规规定的其他条件的证明材料</w:t>
      </w:r>
      <w:r>
        <w:rPr>
          <w:rFonts w:hint="eastAsia" w:ascii="宋体" w:hAnsi="宋体"/>
          <w:b/>
          <w:bCs/>
          <w:color w:val="auto"/>
          <w:szCs w:val="21"/>
          <w:highlight w:val="none"/>
        </w:rPr>
        <w:t>[如有规定，则必须提供]</w:t>
      </w:r>
      <w:r>
        <w:rPr>
          <w:rFonts w:hint="eastAsia" w:ascii="宋体" w:hAnsi="宋体"/>
          <w:b/>
          <w:color w:val="auto"/>
          <w:szCs w:val="21"/>
          <w:highlight w:val="none"/>
        </w:rPr>
        <w:t>；</w:t>
      </w:r>
    </w:p>
    <w:p w14:paraId="572BC95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）项目实施人员一览表；</w:t>
      </w:r>
    </w:p>
    <w:p w14:paraId="2D89FC3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）供应商对本项目的合理化建议和改进措施；</w:t>
      </w:r>
    </w:p>
    <w:p w14:paraId="1F1FAC4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）近三年完成的类似项目情况表</w:t>
      </w:r>
      <w:r>
        <w:rPr>
          <w:rFonts w:hint="eastAsia" w:ascii="宋体" w:hAnsi="宋体"/>
          <w:color w:val="auto"/>
          <w:szCs w:val="21"/>
          <w:highlight w:val="none"/>
          <w:lang w:eastAsia="zh-CN"/>
        </w:rPr>
        <w:t>；</w:t>
      </w:r>
      <w:r>
        <w:rPr>
          <w:rFonts w:hint="eastAsia" w:ascii="宋体" w:hAnsi="宋体"/>
          <w:color w:val="auto"/>
          <w:szCs w:val="21"/>
          <w:highlight w:val="none"/>
        </w:rPr>
        <w:t>（附件</w:t>
      </w:r>
      <w:r>
        <w:rPr>
          <w:rFonts w:hint="eastAsia" w:ascii="宋体" w:hAnsi="宋体"/>
          <w:color w:val="auto"/>
          <w:szCs w:val="21"/>
          <w:highlight w:val="none"/>
          <w:lang w:val="en-US" w:eastAsia="zh-CN"/>
        </w:rPr>
        <w:t>五</w:t>
      </w:r>
      <w:r>
        <w:rPr>
          <w:rFonts w:hint="eastAsia" w:ascii="宋体" w:hAnsi="宋体"/>
          <w:color w:val="auto"/>
          <w:szCs w:val="21"/>
          <w:highlight w:val="none"/>
        </w:rPr>
        <w:t>）</w:t>
      </w:r>
    </w:p>
    <w:p w14:paraId="73186EA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17</w:t>
      </w:r>
      <w:r>
        <w:rPr>
          <w:rFonts w:hint="eastAsia" w:ascii="宋体" w:hAnsi="宋体"/>
          <w:color w:val="auto"/>
          <w:szCs w:val="21"/>
          <w:highlight w:val="none"/>
        </w:rPr>
        <w:t>）项目负责人简历表。（附件</w:t>
      </w:r>
      <w:r>
        <w:rPr>
          <w:rFonts w:hint="eastAsia" w:ascii="宋体" w:hAnsi="宋体"/>
          <w:color w:val="auto"/>
          <w:szCs w:val="21"/>
          <w:highlight w:val="none"/>
          <w:lang w:val="en-US" w:eastAsia="zh-CN"/>
        </w:rPr>
        <w:t>六</w:t>
      </w:r>
      <w:r>
        <w:rPr>
          <w:rFonts w:hint="eastAsia" w:ascii="宋体" w:hAnsi="宋体"/>
          <w:color w:val="auto"/>
          <w:szCs w:val="21"/>
          <w:highlight w:val="none"/>
        </w:rPr>
        <w:t>）</w:t>
      </w:r>
    </w:p>
    <w:p w14:paraId="7B02555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三、报价要求</w:t>
      </w:r>
    </w:p>
    <w:p w14:paraId="44C8D9C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584E604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4629A4ED">
      <w:pPr>
        <w:pStyle w:val="1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3EE7CB9">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b/>
          <w:color w:val="auto"/>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539E6FF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7.5磋商供应商在报价时应考虑各方面因素、各种风险和自己的承受能力。经磋商小组审核存在严重不合理、低于其企业成本的报价，有可能影响产品质量和不能诚信履约的，其报价将不予接受。</w:t>
      </w:r>
    </w:p>
    <w:p w14:paraId="311B812A">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7.6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BBCD80E">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四、竞争性磋商响应文件有效期</w:t>
      </w:r>
    </w:p>
    <w:p w14:paraId="435F400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8.1自竞争性磋商响应文件递交截止日期后60日响应文件应保持有效。有效期不足的竞争性磋商响应文件将被拒绝。</w:t>
      </w:r>
    </w:p>
    <w:p w14:paraId="0D1FFC7E">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8.2在特殊情况下，采购代理机构可与磋商供应商协商延长竞争性磋商响应文件的有效期。</w:t>
      </w:r>
    </w:p>
    <w:p w14:paraId="5E6BD1E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8.3未成交的响应文件有效期内均应保持有效。</w:t>
      </w:r>
    </w:p>
    <w:p w14:paraId="4E453EB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8.4成交供应商的响应文件有效期自响应文件提交截止之日起至合同履行完毕止均应保持有效。</w:t>
      </w:r>
    </w:p>
    <w:p w14:paraId="46A6037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五、竞争性磋商响应文件书写及签名、盖章要求</w:t>
      </w:r>
    </w:p>
    <w:p w14:paraId="097BCEF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9.1竞争性磋商响应文件正本必须用不褪色的墨水书写或打印，修改处应由法定代表人或委托代理人签名和盖公章，否则将会在评审中按无效竞争性磋商响应文件处理。</w:t>
      </w:r>
    </w:p>
    <w:p w14:paraId="6AE00C3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9.2字迹潦草、表达不清或未按要求填写的竞争性磋商响应文件可能将被认定为无效的竞争性磋商响应文件。</w:t>
      </w:r>
    </w:p>
    <w:p w14:paraId="2F43E5D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9.3竞争性磋商响应文件应由法定代表人或委托代理人在凡规定签章处逐一签名和盖公章，否则将会在评审中按无效竞争性磋商响应文件处理。</w:t>
      </w:r>
    </w:p>
    <w:p w14:paraId="4BF09974">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六、竞争性磋商响应文件的份数、封装和递交</w:t>
      </w:r>
    </w:p>
    <w:p w14:paraId="3191A88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 竞争性磋商响应文件的份数和封装</w:t>
      </w:r>
    </w:p>
    <w:p w14:paraId="2BBCA05C">
      <w:pPr>
        <w:pStyle w:val="11"/>
        <w:keepNext w:val="0"/>
        <w:keepLines w:val="0"/>
        <w:pageBreakBefore w:val="0"/>
        <w:kinsoku/>
        <w:overflowPunct/>
        <w:topLinePunct w:val="0"/>
        <w:autoSpaceDE/>
        <w:autoSpaceDN/>
        <w:bidi w:val="0"/>
        <w:adjustRightInd/>
        <w:spacing w:line="380" w:lineRule="exact"/>
        <w:ind w:firstLine="420"/>
        <w:textAlignment w:val="auto"/>
        <w:rPr>
          <w:rFonts w:hint="eastAsia"/>
          <w:color w:val="auto"/>
          <w:highlight w:val="none"/>
        </w:rPr>
      </w:pPr>
      <w:r>
        <w:rPr>
          <w:rFonts w:hint="eastAsia"/>
          <w:color w:val="auto"/>
          <w:highlight w:val="none"/>
        </w:rPr>
        <w:t>10.1磋商供应商应将竞争性磋商响应文件中“价格文件”和“商务技术文件”</w:t>
      </w:r>
      <w:r>
        <w:rPr>
          <w:rFonts w:hint="eastAsia" w:hAnsi="宋体" w:cs="Arial"/>
          <w:color w:val="auto"/>
          <w:highlight w:val="none"/>
        </w:rPr>
        <w:t>装订成一本</w:t>
      </w:r>
      <w:r>
        <w:rPr>
          <w:rFonts w:hint="eastAsia"/>
          <w:color w:val="auto"/>
          <w:highlight w:val="none"/>
        </w:rPr>
        <w:t>（两文件相隔之间用封面标识，封面写明“价格文件”、“商务技术文件”字样）。</w:t>
      </w:r>
    </w:p>
    <w:p w14:paraId="0AEE59E7">
      <w:pPr>
        <w:pStyle w:val="1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color w:val="auto"/>
          <w:highlight w:val="none"/>
        </w:rPr>
        <w:t>磋商供应商将竞争性磋商响应文件按正、副本分别装订成册，在每个正、副本封面上标明“正本”或“副本”，以及采购项目名称、采购项目编号、</w:t>
      </w:r>
      <w:r>
        <w:rPr>
          <w:rFonts w:hint="eastAsia"/>
          <w:bCs/>
          <w:color w:val="auto"/>
          <w:highlight w:val="none"/>
        </w:rPr>
        <w:t>所竞分标号（如有）</w:t>
      </w:r>
      <w:r>
        <w:rPr>
          <w:rFonts w:hint="eastAsia" w:hAnsi="宋体"/>
          <w:color w:val="auto"/>
          <w:highlight w:val="none"/>
        </w:rPr>
        <w:t>、</w:t>
      </w:r>
      <w:r>
        <w:rPr>
          <w:rFonts w:hint="eastAsia"/>
          <w:color w:val="auto"/>
          <w:highlight w:val="none"/>
        </w:rPr>
        <w:t>磋商供应商名称等内容。</w:t>
      </w:r>
      <w:r>
        <w:rPr>
          <w:rFonts w:hint="eastAsia" w:hAnsi="宋体"/>
          <w:color w:val="auto"/>
          <w:highlight w:val="none"/>
        </w:rPr>
        <w:t>副本可以使用已在指定位置签字盖章的正本的复印件（封面除外），一旦正本和副本不符，以正本为准。</w:t>
      </w:r>
    </w:p>
    <w:p w14:paraId="28CC1F9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10.2竞争性磋商</w:t>
      </w:r>
      <w:r>
        <w:rPr>
          <w:rFonts w:hint="eastAsia"/>
          <w:color w:val="auto"/>
          <w:highlight w:val="none"/>
        </w:rPr>
        <w:t>响应文件份数：正本一份，副本四份。供应商在递交响应文件时，同时递交响应文件电子版。</w:t>
      </w:r>
    </w:p>
    <w:p w14:paraId="029F0E7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1）竞争性磋商</w:t>
      </w:r>
      <w:r>
        <w:rPr>
          <w:rFonts w:hint="eastAsia"/>
          <w:color w:val="auto"/>
          <w:highlight w:val="none"/>
        </w:rPr>
        <w:t>响应文件电子版份数：1份。</w:t>
      </w:r>
    </w:p>
    <w:p w14:paraId="1520494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2）竞争性磋商</w:t>
      </w:r>
      <w:r>
        <w:rPr>
          <w:rFonts w:hint="eastAsia"/>
          <w:color w:val="auto"/>
          <w:highlight w:val="none"/>
        </w:rPr>
        <w:t>响应文件电子版形式：</w:t>
      </w:r>
      <w:r>
        <w:rPr>
          <w:rFonts w:hint="eastAsia" w:hAnsi="宋体"/>
          <w:b/>
          <w:bCs/>
          <w:color w:val="auto"/>
          <w:highlight w:val="none"/>
          <w:u w:val="none"/>
        </w:rPr>
        <w:t>签字盖章的</w:t>
      </w:r>
      <w:r>
        <w:rPr>
          <w:rFonts w:hint="eastAsia" w:hAnsi="宋体"/>
          <w:b/>
          <w:bCs/>
          <w:color w:val="auto"/>
          <w:highlight w:val="none"/>
          <w:u w:val="none"/>
          <w:lang w:val="en-US" w:eastAsia="zh-CN"/>
        </w:rPr>
        <w:t>全套响应文件</w:t>
      </w:r>
      <w:r>
        <w:rPr>
          <w:rFonts w:hint="eastAsia" w:hAnsi="宋体"/>
          <w:b/>
          <w:bCs/>
          <w:color w:val="auto"/>
          <w:highlight w:val="none"/>
          <w:u w:val="none"/>
        </w:rPr>
        <w:t>PDF扫描件</w:t>
      </w:r>
      <w:r>
        <w:rPr>
          <w:rFonts w:hint="eastAsia" w:hAnsi="宋体"/>
          <w:b/>
          <w:bCs/>
          <w:color w:val="auto"/>
          <w:highlight w:val="none"/>
          <w:u w:val="none"/>
          <w:lang w:val="en-US" w:eastAsia="zh-CN"/>
        </w:rPr>
        <w:t>、</w:t>
      </w:r>
      <w:r>
        <w:rPr>
          <w:rFonts w:hint="eastAsia" w:hAnsi="宋体"/>
          <w:b/>
          <w:bCs/>
          <w:color w:val="auto"/>
          <w:highlight w:val="none"/>
          <w:u w:val="none"/>
        </w:rPr>
        <w:t>可编辑的Word文档</w:t>
      </w:r>
      <w:r>
        <w:rPr>
          <w:rFonts w:hint="eastAsia" w:hAnsi="宋体"/>
          <w:b/>
          <w:bCs/>
          <w:color w:val="auto"/>
          <w:highlight w:val="none"/>
          <w:u w:val="none"/>
          <w:lang w:eastAsia="zh-CN"/>
        </w:rPr>
        <w:t>、</w:t>
      </w:r>
      <w:r>
        <w:rPr>
          <w:rFonts w:hint="eastAsia" w:hAnsi="宋体"/>
          <w:b/>
          <w:bCs/>
          <w:color w:val="auto"/>
          <w:highlight w:val="none"/>
          <w:u w:val="none"/>
        </w:rPr>
        <w:t>可编辑的Excel</w:t>
      </w:r>
      <w:r>
        <w:rPr>
          <w:rFonts w:hint="eastAsia" w:hAnsi="宋体"/>
          <w:b/>
          <w:bCs/>
          <w:color w:val="auto"/>
          <w:highlight w:val="none"/>
          <w:u w:val="none"/>
          <w:lang w:val="en-US" w:eastAsia="zh-CN"/>
        </w:rPr>
        <w:t>文件（如有）</w:t>
      </w:r>
      <w:r>
        <w:rPr>
          <w:rFonts w:hint="eastAsia"/>
          <w:color w:val="auto"/>
          <w:highlight w:val="none"/>
        </w:rPr>
        <w:t>。</w:t>
      </w:r>
    </w:p>
    <w:p w14:paraId="7FF4AB8B">
      <w:pPr>
        <w:keepNext w:val="0"/>
        <w:keepLines w:val="0"/>
        <w:pageBreakBefore w:val="0"/>
        <w:kinsoku/>
        <w:overflowPunct/>
        <w:topLinePunct w:val="0"/>
        <w:autoSpaceDE/>
        <w:autoSpaceDN/>
        <w:bidi w:val="0"/>
        <w:adjustRightInd/>
        <w:spacing w:line="380" w:lineRule="exact"/>
        <w:ind w:firstLine="420" w:firstLineChars="200"/>
        <w:textAlignment w:val="auto"/>
        <w:rPr>
          <w:color w:val="auto"/>
          <w:highlight w:val="none"/>
        </w:rPr>
      </w:pPr>
      <w:r>
        <w:rPr>
          <w:rFonts w:hint="eastAsia" w:ascii="宋体" w:hAnsi="宋体"/>
          <w:color w:val="auto"/>
          <w:szCs w:val="21"/>
          <w:highlight w:val="none"/>
        </w:rPr>
        <w:t>3）竞争性磋商</w:t>
      </w:r>
      <w:r>
        <w:rPr>
          <w:rFonts w:hint="eastAsia"/>
          <w:color w:val="auto"/>
          <w:highlight w:val="none"/>
        </w:rPr>
        <w:t>响应文件电子版密封方式：将响应文件电子版</w:t>
      </w:r>
      <w:r>
        <w:rPr>
          <w:rFonts w:hint="eastAsia" w:hAnsi="宋体"/>
          <w:color w:val="auto"/>
          <w:highlight w:val="none"/>
        </w:rPr>
        <w:t>U盘</w:t>
      </w:r>
      <w:r>
        <w:rPr>
          <w:rFonts w:hint="eastAsia"/>
          <w:color w:val="auto"/>
          <w:highlight w:val="none"/>
        </w:rPr>
        <w:t>与纸质版响应文件一并装入响应文件袋中。</w:t>
      </w:r>
    </w:p>
    <w:p w14:paraId="7A0ACC7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hAnsi="宋体"/>
          <w:color w:val="auto"/>
          <w:highlight w:val="none"/>
        </w:rPr>
      </w:pPr>
      <w:r>
        <w:rPr>
          <w:rFonts w:hint="eastAsia" w:ascii="宋体" w:hAnsi="宋体"/>
          <w:color w:val="auto"/>
          <w:szCs w:val="21"/>
          <w:highlight w:val="none"/>
        </w:rPr>
        <w:t>4）</w:t>
      </w:r>
      <w:r>
        <w:rPr>
          <w:rFonts w:hint="eastAsia" w:ascii="宋体" w:hAnsi="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0475734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10.3竞标文件袋上应写明：</w:t>
      </w:r>
    </w:p>
    <w:p w14:paraId="670AE415">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eastAsia="宋体" w:cs="Times New Roman"/>
          <w:color w:val="auto"/>
          <w:highlight w:val="none"/>
        </w:rPr>
        <w:t>采购代理机构：</w:t>
      </w:r>
    </w:p>
    <w:p w14:paraId="1F399329">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color w:val="auto"/>
          <w:szCs w:val="21"/>
          <w:highlight w:val="none"/>
        </w:rPr>
        <w:t>2）采购项目名称</w:t>
      </w:r>
      <w:r>
        <w:rPr>
          <w:rFonts w:hint="eastAsia" w:ascii="宋体" w:hAnsi="宋体"/>
          <w:bCs/>
          <w:color w:val="auto"/>
          <w:szCs w:val="21"/>
          <w:highlight w:val="none"/>
        </w:rPr>
        <w:t>：</w:t>
      </w:r>
    </w:p>
    <w:p w14:paraId="24C3B5CC">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bCs/>
          <w:color w:val="auto"/>
          <w:highlight w:val="none"/>
        </w:rPr>
        <w:t>3）</w:t>
      </w:r>
      <w:r>
        <w:rPr>
          <w:rFonts w:hint="eastAsia" w:ascii="宋体" w:hAnsi="宋体"/>
          <w:color w:val="auto"/>
          <w:szCs w:val="21"/>
          <w:highlight w:val="none"/>
        </w:rPr>
        <w:t>采购项目编号</w:t>
      </w:r>
      <w:r>
        <w:rPr>
          <w:rFonts w:hint="eastAsia" w:ascii="宋体" w:hAnsi="宋体"/>
          <w:bCs/>
          <w:color w:val="auto"/>
          <w:szCs w:val="21"/>
          <w:highlight w:val="none"/>
        </w:rPr>
        <w:t>：</w:t>
      </w:r>
    </w:p>
    <w:p w14:paraId="55C6BFED">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bCs/>
          <w:color w:val="auto"/>
          <w:highlight w:val="none"/>
        </w:rPr>
      </w:pPr>
      <w:r>
        <w:rPr>
          <w:rFonts w:hint="eastAsia" w:ascii="宋体" w:hAnsi="宋体"/>
          <w:color w:val="auto"/>
          <w:szCs w:val="21"/>
          <w:highlight w:val="none"/>
        </w:rPr>
        <w:t>4）</w:t>
      </w:r>
      <w:r>
        <w:rPr>
          <w:rFonts w:hint="eastAsia"/>
          <w:bCs/>
          <w:color w:val="auto"/>
          <w:highlight w:val="none"/>
        </w:rPr>
        <w:t>所竞分标号（如有）：</w:t>
      </w:r>
    </w:p>
    <w:p w14:paraId="2D1D6278">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磋商供应商名称</w:t>
      </w:r>
      <w:r>
        <w:rPr>
          <w:rFonts w:hint="eastAsia" w:ascii="宋体" w:hAnsi="宋体"/>
          <w:bCs/>
          <w:color w:val="auto"/>
          <w:szCs w:val="21"/>
          <w:highlight w:val="none"/>
        </w:rPr>
        <w:t>：</w:t>
      </w:r>
    </w:p>
    <w:p w14:paraId="1F7282B1">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6）（</w:t>
      </w:r>
      <w:r>
        <w:rPr>
          <w:rFonts w:hint="eastAsia"/>
          <w:color w:val="auto"/>
          <w:highlight w:val="none"/>
        </w:rPr>
        <w:t>××年××月××日××时××分前不得拆开</w:t>
      </w:r>
      <w:r>
        <w:rPr>
          <w:rFonts w:hint="eastAsia" w:ascii="宋体" w:hAnsi="宋体"/>
          <w:bCs/>
          <w:color w:val="auto"/>
          <w:szCs w:val="21"/>
          <w:highlight w:val="none"/>
        </w:rPr>
        <w:t>）</w:t>
      </w:r>
    </w:p>
    <w:p w14:paraId="5D2BC57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10.4竞争性磋商响应文件的密封以竞标文件袋无明显缝隙露出袋内文件且封口处有密封签章为合格。</w:t>
      </w:r>
    </w:p>
    <w:p w14:paraId="56B34D0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10.5</w:t>
      </w:r>
      <w:r>
        <w:rPr>
          <w:rFonts w:hint="eastAsia" w:ascii="宋体" w:hAnsi="宋体"/>
          <w:b/>
          <w:bCs/>
          <w:color w:val="auto"/>
          <w:szCs w:val="21"/>
          <w:highlight w:val="none"/>
        </w:rPr>
        <w:t>磋商供应商在递交竞争性磋商响应文件时应按本须知要求密封。</w:t>
      </w:r>
    </w:p>
    <w:p w14:paraId="028EB74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 竞争性磋商响应文件的递交</w:t>
      </w:r>
    </w:p>
    <w:p w14:paraId="3955FB2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11.1竞争性磋商响应文件应于竞争性磋商文件中规定的时间前递交到指定地点位置。</w:t>
      </w:r>
    </w:p>
    <w:p w14:paraId="31B9210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11.2递交竞争性磋商响应文件的地点：见“供应商须知前附表”。</w:t>
      </w:r>
    </w:p>
    <w:p w14:paraId="335D061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12.迟交的竞争性磋商响应文件</w:t>
      </w:r>
    </w:p>
    <w:p w14:paraId="284F63D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按《政府采购法》的规定，逾期送达的或者未送达指定地点的竞争性磋商响应文件，采购代理机构拒绝接收。</w:t>
      </w:r>
    </w:p>
    <w:p w14:paraId="7FBB1F91">
      <w:pPr>
        <w:keepNext w:val="0"/>
        <w:keepLines w:val="0"/>
        <w:pageBreakBefore w:val="0"/>
        <w:numPr>
          <w:ilvl w:val="0"/>
          <w:numId w:val="0"/>
        </w:numPr>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lang w:val="en-US" w:eastAsia="zh-CN"/>
        </w:rPr>
      </w:pPr>
      <w:r>
        <w:rPr>
          <w:rFonts w:hint="eastAsia" w:ascii="宋体" w:hAnsi="宋体" w:eastAsia="宋体" w:cs="Times New Roman"/>
          <w:b/>
          <w:bCs/>
          <w:color w:val="auto"/>
          <w:kern w:val="2"/>
          <w:sz w:val="21"/>
          <w:szCs w:val="21"/>
          <w:highlight w:val="none"/>
          <w:lang w:val="en-US" w:eastAsia="zh-CN" w:bidi="ar-SA"/>
        </w:rPr>
        <w:t>七、</w:t>
      </w:r>
      <w:r>
        <w:rPr>
          <w:rFonts w:hint="eastAsia" w:ascii="宋体" w:hAnsi="宋体"/>
          <w:b/>
          <w:color w:val="auto"/>
          <w:szCs w:val="21"/>
          <w:highlight w:val="none"/>
        </w:rPr>
        <w:t>磋商保证金</w:t>
      </w:r>
      <w:r>
        <w:rPr>
          <w:rFonts w:hint="eastAsia" w:ascii="宋体" w:hAnsi="宋体"/>
          <w:b/>
          <w:color w:val="auto"/>
          <w:szCs w:val="21"/>
          <w:highlight w:val="none"/>
          <w:lang w:eastAsia="zh-CN"/>
        </w:rPr>
        <w:t>：</w:t>
      </w:r>
      <w:r>
        <w:rPr>
          <w:rFonts w:hint="eastAsia" w:ascii="宋体" w:hAnsi="宋体"/>
          <w:b/>
          <w:bCs/>
          <w:color w:val="auto"/>
          <w:szCs w:val="21"/>
          <w:highlight w:val="none"/>
          <w:lang w:val="en-US" w:eastAsia="zh-CN"/>
        </w:rPr>
        <w:t>无。</w:t>
      </w:r>
    </w:p>
    <w:p w14:paraId="623457C6">
      <w:pPr>
        <w:keepNext w:val="0"/>
        <w:keepLines w:val="0"/>
        <w:pageBreakBefore w:val="0"/>
        <w:numPr>
          <w:ilvl w:val="0"/>
          <w:numId w:val="0"/>
        </w:numPr>
        <w:kinsoku/>
        <w:overflowPunct/>
        <w:topLinePunct w:val="0"/>
        <w:autoSpaceDE/>
        <w:autoSpaceDN/>
        <w:bidi w:val="0"/>
        <w:adjustRightInd/>
        <w:spacing w:line="380" w:lineRule="exact"/>
        <w:ind w:firstLine="422" w:firstLineChars="200"/>
        <w:textAlignment w:val="auto"/>
        <w:rPr>
          <w:rFonts w:hint="eastAsia"/>
          <w:b/>
          <w:color w:val="auto"/>
          <w:highlight w:val="none"/>
        </w:rPr>
      </w:pPr>
      <w:r>
        <w:rPr>
          <w:rFonts w:hint="eastAsia" w:ascii="宋体" w:hAnsi="宋体"/>
          <w:b/>
          <w:color w:val="auto"/>
          <w:szCs w:val="21"/>
          <w:highlight w:val="none"/>
        </w:rPr>
        <w:t>八</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F8831E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b/>
          <w:color w:val="auto"/>
          <w:highlight w:val="none"/>
        </w:rPr>
      </w:pPr>
      <w:r>
        <w:rPr>
          <w:rFonts w:hint="eastAsia"/>
          <w:b/>
          <w:color w:val="auto"/>
          <w:highlight w:val="none"/>
        </w:rPr>
        <w:t>（一）竞争性磋商响应文件无效的情形：</w:t>
      </w:r>
    </w:p>
    <w:p w14:paraId="522A0B4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b/>
          <w:color w:val="auto"/>
          <w:highlight w:val="none"/>
          <w:lang w:eastAsia="zh-CN"/>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r>
        <w:rPr>
          <w:rFonts w:hint="eastAsia" w:ascii="宋体" w:hAnsi="宋体"/>
          <w:b/>
          <w:color w:val="auto"/>
          <w:highlight w:val="none"/>
          <w:lang w:eastAsia="zh-CN"/>
        </w:rPr>
        <w:t>；</w:t>
      </w:r>
    </w:p>
    <w:p w14:paraId="276BA3C6">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24261E0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50954222">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2E084AAC">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3D21750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758B3001">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33A76E2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77C77FD5">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3.有下列情形之一的视为关联供应商参加同一合同项下采购活动，竞争性磋商响应文件将被视为无效：</w:t>
      </w:r>
    </w:p>
    <w:p w14:paraId="4EF0A99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（1）单位负责人为同一人或者存在直接控股、管理关系的不同供应商，参加同一合同项下采购活动；</w:t>
      </w:r>
    </w:p>
    <w:p w14:paraId="31275E8B">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（2）生产厂商授权给供应商后又参加同一合同项下的采购活动；生产厂商对同一品牌同一型号的货物委托多个代理商参加磋商活动。</w:t>
      </w:r>
    </w:p>
    <w:p w14:paraId="79BD77A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color w:val="auto"/>
          <w:highlight w:val="none"/>
        </w:rPr>
      </w:pPr>
      <w:r>
        <w:rPr>
          <w:rFonts w:hint="eastAsia" w:ascii="宋体" w:hAnsi="宋体"/>
          <w:b/>
          <w:color w:val="auto"/>
          <w:highlight w:val="none"/>
        </w:rPr>
        <w:t>4.被拒绝的响应文件为无效。</w:t>
      </w:r>
    </w:p>
    <w:p w14:paraId="2623145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cs="宋体"/>
          <w:b/>
          <w:color w:val="auto"/>
          <w:kern w:val="0"/>
          <w:szCs w:val="21"/>
          <w:highlight w:val="none"/>
        </w:rPr>
      </w:pPr>
      <w:r>
        <w:rPr>
          <w:rFonts w:ascii="宋体" w:hAnsi="宋体" w:cs="宋体"/>
          <w:b/>
          <w:color w:val="auto"/>
          <w:kern w:val="0"/>
          <w:szCs w:val="21"/>
          <w:highlight w:val="none"/>
        </w:rPr>
        <w:t>5</w:t>
      </w:r>
      <w:r>
        <w:rPr>
          <w:rFonts w:hint="eastAsia" w:ascii="宋体" w:hAnsi="宋体" w:cs="宋体"/>
          <w:b/>
          <w:color w:val="auto"/>
          <w:kern w:val="0"/>
          <w:szCs w:val="21"/>
          <w:highlight w:val="none"/>
        </w:rPr>
        <w:t>.磋商供应商竞争性磋商响应文件无效的，磋商小组应当告知有关供应商。</w:t>
      </w:r>
    </w:p>
    <w:p w14:paraId="025DA15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（二）磋商</w:t>
      </w:r>
    </w:p>
    <w:p w14:paraId="20F6804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14.1第一轮磋商</w:t>
      </w:r>
    </w:p>
    <w:p w14:paraId="52377EC6">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磋商时间及地点：详见本须知前附表第9项规定。</w:t>
      </w:r>
    </w:p>
    <w:p w14:paraId="1088391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color w:val="auto"/>
          <w:szCs w:val="21"/>
          <w:highlight w:val="none"/>
        </w:rPr>
        <w:t>供应商分别</w:t>
      </w:r>
      <w:r>
        <w:rPr>
          <w:rFonts w:hint="eastAsia" w:ascii="宋体" w:hAnsi="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34058DC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75E459B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26FED64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方法确定成交候选供应商。第一轮磋商后竞争性磋商文件有实质性变动或仍需磋商的，磋商小组对竞争性磋商文件变动或提出磋商意见后进行第二轮磋商。</w:t>
      </w:r>
    </w:p>
    <w:p w14:paraId="35287A11">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14.2竞争性磋商文件变动</w:t>
      </w:r>
    </w:p>
    <w:p w14:paraId="5274239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9675DA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7D98D1D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0B0F2AA0">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14.3第二轮磋商</w:t>
      </w:r>
    </w:p>
    <w:p w14:paraId="4E2C2D0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olor w:val="auto"/>
          <w:szCs w:val="21"/>
          <w:highlight w:val="none"/>
        </w:rPr>
        <w:t>本公司对磋商过程和重要磋商内容进行记录，磋商双方在记录上签字确认。</w:t>
      </w:r>
    </w:p>
    <w:p w14:paraId="0263A9C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754443E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31C0D2F4">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14.4最后报价</w:t>
      </w:r>
    </w:p>
    <w:p w14:paraId="1782D6F2">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bCs/>
          <w:color w:val="auto"/>
          <w:highlight w:val="none"/>
        </w:rPr>
        <w:t>（得分相同时，以磋商报价</w:t>
      </w:r>
      <w:r>
        <w:rPr>
          <w:rFonts w:hint="eastAsia"/>
          <w:b/>
          <w:bCs/>
          <w:color w:val="auto"/>
          <w:highlight w:val="none"/>
        </w:rPr>
        <w:t>由低到高</w:t>
      </w:r>
      <w:r>
        <w:rPr>
          <w:rFonts w:hint="eastAsia"/>
          <w:bCs/>
          <w:color w:val="auto"/>
          <w:highlight w:val="none"/>
        </w:rPr>
        <w:t>顺序排列；得分相同且报价相同的，按服务方案优劣顺序排列）</w:t>
      </w:r>
      <w:r>
        <w:rPr>
          <w:rFonts w:hint="eastAsia" w:ascii="宋体" w:hAnsi="宋体"/>
          <w:color w:val="auto"/>
          <w:szCs w:val="21"/>
          <w:highlight w:val="none"/>
        </w:rPr>
        <w:t>，并编写评审报告。最后报价是供应商竞争性磋商响应文件的有效组成部分。</w:t>
      </w:r>
    </w:p>
    <w:p w14:paraId="143BCA4E">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FC1E5D">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14.5在采购过程中符合要求的供应商或者报价未超过采购预算的供应商不足3家的，磋商活动终止。</w:t>
      </w:r>
    </w:p>
    <w:p w14:paraId="404C77AC">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color w:val="auto"/>
          <w:highlight w:val="none"/>
        </w:rPr>
      </w:pPr>
      <w:r>
        <w:rPr>
          <w:rFonts w:hint="eastAsia" w:ascii="宋体" w:hAnsi="宋体"/>
          <w:color w:val="auto"/>
          <w:szCs w:val="21"/>
          <w:highlight w:val="none"/>
        </w:rPr>
        <w:t>14.6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6AA839D2">
      <w:pPr>
        <w:keepNext w:val="0"/>
        <w:keepLines w:val="0"/>
        <w:pageBreakBefore w:val="0"/>
        <w:widowControl/>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九、确定成交供应商办法</w:t>
      </w:r>
    </w:p>
    <w:p w14:paraId="76378B99">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010D5F70">
      <w:pPr>
        <w:keepNext w:val="0"/>
        <w:keepLines w:val="0"/>
        <w:pageBreakBefore w:val="0"/>
        <w:widowControl/>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hAnsi="宋体"/>
          <w:b/>
          <w:color w:val="auto"/>
          <w:highlight w:val="none"/>
        </w:rPr>
      </w:pPr>
      <w:r>
        <w:rPr>
          <w:rFonts w:hint="eastAsia" w:hAnsi="宋体"/>
          <w:b/>
          <w:color w:val="auto"/>
          <w:highlight w:val="none"/>
        </w:rPr>
        <w:t>十、成交结果公告</w:t>
      </w:r>
    </w:p>
    <w:p w14:paraId="265A1D2C">
      <w:pPr>
        <w:keepNext w:val="0"/>
        <w:keepLines w:val="0"/>
        <w:pageBreakBefore w:val="0"/>
        <w:widowControl/>
        <w:tabs>
          <w:tab w:val="left" w:pos="540"/>
        </w:tabs>
        <w:kinsoku/>
        <w:wordWrap w:val="0"/>
        <w:overflowPunct/>
        <w:topLinePunct w:val="0"/>
        <w:autoSpaceDE/>
        <w:autoSpaceDN/>
        <w:bidi w:val="0"/>
        <w:adjustRightInd/>
        <w:snapToGrid/>
        <w:spacing w:line="380" w:lineRule="exact"/>
        <w:ind w:firstLine="420" w:firstLineChars="200"/>
        <w:jc w:val="left"/>
        <w:textAlignment w:val="auto"/>
        <w:rPr>
          <w:rFonts w:hint="eastAsia" w:hAnsi="宋体"/>
          <w:color w:val="auto"/>
          <w:highlight w:val="none"/>
        </w:rPr>
      </w:pPr>
      <w:r>
        <w:rPr>
          <w:rFonts w:hint="eastAsia" w:ascii="宋体" w:hAnsi="宋体" w:cs="宋体"/>
          <w:color w:val="auto"/>
          <w:kern w:val="0"/>
          <w:szCs w:val="21"/>
          <w:highlight w:val="none"/>
        </w:rPr>
        <w:t>16.1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确认后，成交结果公告将在指定的采购信息发布媒体上发布，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01B156A5">
      <w:pPr>
        <w:pStyle w:val="11"/>
        <w:keepNext w:val="0"/>
        <w:keepLines w:val="0"/>
        <w:pageBreakBefore w:val="0"/>
        <w:kinsoku/>
        <w:overflowPunct/>
        <w:topLinePunct w:val="0"/>
        <w:autoSpaceDE/>
        <w:autoSpaceDN/>
        <w:bidi w:val="0"/>
        <w:adjustRightInd/>
        <w:snapToGrid/>
        <w:spacing w:line="380" w:lineRule="exact"/>
        <w:ind w:left="105" w:firstLine="315"/>
        <w:textAlignment w:val="auto"/>
        <w:rPr>
          <w:rFonts w:hint="eastAsia" w:hAnsi="宋体"/>
          <w:bCs/>
          <w:color w:val="auto"/>
          <w:highlight w:val="none"/>
        </w:rPr>
      </w:pPr>
      <w:r>
        <w:rPr>
          <w:rFonts w:hint="eastAsia" w:hAnsi="宋体"/>
          <w:color w:val="auto"/>
          <w:highlight w:val="none"/>
        </w:rPr>
        <w:t>16.2磋商供应商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6E1EDD28">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Cs/>
          <w:color w:val="auto"/>
          <w:highlight w:val="none"/>
        </w:rPr>
      </w:pPr>
      <w:r>
        <w:rPr>
          <w:rFonts w:hint="eastAsia" w:hAnsi="宋体"/>
          <w:color w:val="auto"/>
          <w:highlight w:val="none"/>
        </w:rPr>
        <w:t>16.3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7AC7F51E">
      <w:pPr>
        <w:widowControl w:val="0"/>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质疑联系部门及电话为：广西国力招标有限公司                    0771-4915558</w:t>
      </w:r>
    </w:p>
    <w:p w14:paraId="7A39C9E0">
      <w:pPr>
        <w:widowControl w:val="0"/>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1EDA1249">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十一、签订合同</w:t>
      </w:r>
    </w:p>
    <w:p w14:paraId="4786609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17.1成交供应商</w:t>
      </w:r>
      <w:r>
        <w:rPr>
          <w:rFonts w:hint="eastAsia" w:ascii="宋体" w:hAnsi="宋体" w:eastAsia="宋体" w:cs="宋体"/>
          <w:b w:val="0"/>
          <w:bCs w:val="0"/>
          <w:color w:val="auto"/>
          <w:sz w:val="21"/>
          <w:szCs w:val="21"/>
          <w:highlight w:val="none"/>
          <w:shd w:val="clear"/>
        </w:rPr>
        <w:t>自</w:t>
      </w:r>
      <w:r>
        <w:rPr>
          <w:rFonts w:hint="eastAsia" w:ascii="宋体" w:hAnsi="宋体" w:eastAsia="宋体" w:cs="宋体"/>
          <w:b w:val="0"/>
          <w:bCs w:val="0"/>
          <w:color w:val="auto"/>
          <w:sz w:val="21"/>
          <w:szCs w:val="21"/>
          <w:highlight w:val="none"/>
          <w:shd w:val="clear"/>
          <w:lang w:val="en-US" w:eastAsia="zh-CN"/>
        </w:rPr>
        <w:t>成交</w:t>
      </w:r>
      <w:r>
        <w:rPr>
          <w:rFonts w:hint="eastAsia" w:ascii="宋体" w:hAnsi="宋体" w:eastAsia="宋体" w:cs="宋体"/>
          <w:b w:val="0"/>
          <w:bCs w:val="0"/>
          <w:color w:val="auto"/>
          <w:sz w:val="21"/>
          <w:szCs w:val="21"/>
          <w:highlight w:val="none"/>
          <w:shd w:val="clear"/>
        </w:rPr>
        <w:t>通知书发出之日起</w:t>
      </w:r>
      <w:r>
        <w:rPr>
          <w:rFonts w:hint="eastAsia" w:hAnsi="宋体" w:cs="宋体"/>
          <w:b w:val="0"/>
          <w:bCs w:val="0"/>
          <w:color w:val="auto"/>
          <w:sz w:val="21"/>
          <w:szCs w:val="21"/>
          <w:highlight w:val="none"/>
          <w:shd w:val="clear"/>
          <w:lang w:val="en-US" w:eastAsia="zh-CN"/>
        </w:rPr>
        <w:t>30</w:t>
      </w:r>
      <w:r>
        <w:rPr>
          <w:rFonts w:hint="eastAsia" w:ascii="宋体" w:hAnsi="宋体" w:eastAsia="宋体" w:cs="宋体"/>
          <w:b w:val="0"/>
          <w:bCs w:val="0"/>
          <w:color w:val="auto"/>
          <w:sz w:val="21"/>
          <w:szCs w:val="21"/>
          <w:highlight w:val="none"/>
          <w:shd w:val="clear"/>
        </w:rPr>
        <w:t>日内</w:t>
      </w:r>
      <w:r>
        <w:rPr>
          <w:rFonts w:hint="eastAsia" w:ascii="宋体" w:hAnsi="宋体" w:eastAsia="宋体" w:cs="宋体"/>
          <w:b w:val="0"/>
          <w:bCs w:val="0"/>
          <w:color w:val="auto"/>
          <w:sz w:val="21"/>
          <w:szCs w:val="21"/>
          <w:highlight w:val="none"/>
          <w:shd w:val="clear"/>
          <w:lang w:eastAsia="zh-CN"/>
        </w:rPr>
        <w:t>签订合同</w:t>
      </w:r>
      <w:r>
        <w:rPr>
          <w:rFonts w:hint="eastAsia" w:hAnsi="宋体"/>
          <w:color w:val="auto"/>
          <w:highlight w:val="none"/>
        </w:rPr>
        <w:t>。</w:t>
      </w:r>
    </w:p>
    <w:p w14:paraId="5D10E5CB">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s="宋体"/>
          <w:color w:val="auto"/>
          <w:kern w:val="0"/>
          <w:highlight w:val="none"/>
        </w:rPr>
      </w:pPr>
      <w:r>
        <w:rPr>
          <w:rFonts w:hint="eastAsia" w:hAnsi="宋体"/>
          <w:color w:val="auto"/>
          <w:highlight w:val="none"/>
        </w:rPr>
        <w:t>17.2</w:t>
      </w:r>
      <w:r>
        <w:rPr>
          <w:rFonts w:hint="eastAsia" w:hAnsi="宋体" w:cs="宋体"/>
          <w:color w:val="auto"/>
          <w:kern w:val="0"/>
          <w:highlight w:val="none"/>
        </w:rPr>
        <w:t>成交供应商拒绝签订采购合同的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06BE5AE1">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b/>
          <w:color w:val="auto"/>
          <w:highlight w:val="none"/>
        </w:rPr>
        <w:t>17.3</w:t>
      </w:r>
      <w:r>
        <w:rPr>
          <w:rFonts w:hint="eastAsia" w:hAnsi="宋体" w:cs="宋体"/>
          <w:b/>
          <w:color w:val="auto"/>
          <w:kern w:val="0"/>
          <w:highlight w:val="none"/>
        </w:rPr>
        <w:t>成交供应商拒绝签订采购合同的</w:t>
      </w:r>
      <w:r>
        <w:rPr>
          <w:rFonts w:hint="eastAsia"/>
          <w:b/>
          <w:color w:val="auto"/>
          <w:highlight w:val="none"/>
        </w:rPr>
        <w:t>，其保证金将不予退还，给采购人造成损失的，还应当赔偿损失，并作为不良行为记录在案</w:t>
      </w:r>
      <w:r>
        <w:rPr>
          <w:rFonts w:hint="eastAsia" w:hAnsi="宋体"/>
          <w:b/>
          <w:color w:val="auto"/>
          <w:highlight w:val="none"/>
        </w:rPr>
        <w:t>。</w:t>
      </w:r>
    </w:p>
    <w:p w14:paraId="3EBADC56">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17.4履约保证金</w:t>
      </w:r>
    </w:p>
    <w:p w14:paraId="7FD34743">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1.成交人须于签订合同前按本项目关于履约保证金的规定进行办理。否则，不予签订合同。</w:t>
      </w:r>
    </w:p>
    <w:p w14:paraId="16FA24F4">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2.签订合同后，如成交人不按双方签订的合同规定履约，则没收其全部履约保证金，履约保证金不足以赔偿损失的，按实际损失赔偿。</w:t>
      </w:r>
    </w:p>
    <w:p w14:paraId="0204E4E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3.履约保证金在成交人按合同约定采购人验收合格并</w:t>
      </w:r>
      <w:r>
        <w:rPr>
          <w:rStyle w:val="21"/>
          <w:rFonts w:hint="eastAsia" w:ascii="宋体" w:hAnsi="宋体" w:eastAsia="宋体" w:cs="Courier New"/>
          <w:b/>
          <w:bCs w:val="0"/>
          <w:i w:val="0"/>
          <w:iCs w:val="0"/>
          <w:caps w:val="0"/>
          <w:color w:val="auto"/>
          <w:spacing w:val="0"/>
          <w:sz w:val="21"/>
          <w:szCs w:val="21"/>
          <w:highlight w:val="none"/>
          <w:shd w:val="clear"/>
        </w:rPr>
        <w:t>获得规划审批部门的正式批准文件</w:t>
      </w:r>
      <w:r>
        <w:rPr>
          <w:rFonts w:hint="eastAsia" w:hAnsi="宋体"/>
          <w:b/>
          <w:color w:val="auto"/>
          <w:highlight w:val="none"/>
          <w:lang w:val="en-US" w:eastAsia="zh-CN"/>
        </w:rPr>
        <w:t>，由成交人提交退还履约保证金申请书，在收到申请书后20个工作日内将履约保证金无息退回。</w:t>
      </w:r>
    </w:p>
    <w:p w14:paraId="59D6CDAF">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eastAsia="宋体"/>
          <w:b/>
          <w:color w:val="auto"/>
          <w:highlight w:val="none"/>
          <w:lang w:eastAsia="zh-CN"/>
        </w:rPr>
      </w:pPr>
      <w:r>
        <w:rPr>
          <w:rFonts w:hint="eastAsia" w:hAnsi="宋体"/>
          <w:b/>
          <w:color w:val="auto"/>
          <w:highlight w:val="none"/>
          <w:lang w:val="en-US" w:eastAsia="zh-CN"/>
        </w:rPr>
        <w:t>4.在履约保证金退还日期前，若成交人的开户名称、开户银行、账号有变动的，请以书面形式通知履约保证金收取机构，否则由此产生的后果由成交人自负。</w:t>
      </w:r>
    </w:p>
    <w:p w14:paraId="5606FFF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十二、适用法律</w:t>
      </w:r>
    </w:p>
    <w:p w14:paraId="2A2909D5">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olor w:val="auto"/>
          <w:highlight w:val="none"/>
        </w:rPr>
      </w:pPr>
      <w:bookmarkStart w:id="93" w:name="_GoBack"/>
      <w:bookmarkEnd w:id="93"/>
      <w:r>
        <w:rPr>
          <w:rFonts w:hint="eastAsia" w:hAnsi="宋体"/>
          <w:color w:val="auto"/>
          <w:highlight w:val="none"/>
        </w:rPr>
        <w:t>18.采购当事人的一切活动</w:t>
      </w:r>
      <w:r>
        <w:rPr>
          <w:rFonts w:hint="eastAsia" w:hAnsi="宋体"/>
          <w:color w:val="auto"/>
          <w:highlight w:val="none"/>
          <w:lang w:val="en-US" w:eastAsia="zh-CN"/>
        </w:rPr>
        <w:t>参照</w:t>
      </w:r>
      <w:r>
        <w:rPr>
          <w:rFonts w:hint="eastAsia" w:hAnsi="宋体"/>
          <w:color w:val="auto"/>
          <w:highlight w:val="none"/>
        </w:rPr>
        <w:t>《中华人民共和国政府采购法》及相关规定。最终磋商结束后，</w:t>
      </w:r>
    </w:p>
    <w:p w14:paraId="4DC8D353">
      <w:pPr>
        <w:keepNext w:val="0"/>
        <w:keepLines w:val="0"/>
        <w:pageBreakBefore w:val="0"/>
        <w:kinsoku/>
        <w:overflowPunct/>
        <w:topLinePunct w:val="0"/>
        <w:autoSpaceDE/>
        <w:autoSpaceDN/>
        <w:bidi w:val="0"/>
        <w:adjustRightInd/>
        <w:snapToGrid/>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7068D92B">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十三、其他事项</w:t>
      </w:r>
    </w:p>
    <w:p w14:paraId="2CA1A2FD">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19.1成交服务费</w:t>
      </w:r>
    </w:p>
    <w:p w14:paraId="6EC98B0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（1）采购代理机构按</w:t>
      </w:r>
      <w:r>
        <w:rPr>
          <w:rFonts w:hint="eastAsia" w:ascii="宋体" w:hAnsi="宋体" w:eastAsia="宋体" w:cs="宋体"/>
          <w:color w:val="auto"/>
          <w:highlight w:val="none"/>
        </w:rPr>
        <w:t>国家发改委《关于降低部分建设项目收费标准规范收费行为等有关问题的通知》（发改〔2011〕534号）、广西壮族自治区物价局转发国家发改委《关于降低部分建设项目收费标准规范收费行为等有关问题的通知》（桂价费〔2011〕51号）</w:t>
      </w:r>
      <w:r>
        <w:rPr>
          <w:rFonts w:hint="eastAsia" w:ascii="Times New Roman" w:hAnsi="宋体" w:eastAsia="宋体" w:cs="Times New Roman"/>
          <w:color w:val="auto"/>
          <w:highlight w:val="none"/>
        </w:rPr>
        <w:t>文件确定的收费标准计取成交服务费，发布成交结果公告后，成交供应商须向广西国力招标有限公司一次付清成交服务费。</w:t>
      </w:r>
    </w:p>
    <w:p w14:paraId="172F4D6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E91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center"/>
          </w:tcPr>
          <w:p w14:paraId="460996B0">
            <w:pPr>
              <w:keepNext w:val="0"/>
              <w:keepLines w:val="0"/>
              <w:pageBreakBefore w:val="0"/>
              <w:kinsoku/>
              <w:overflowPunct/>
              <w:topLinePunct w:val="0"/>
              <w:autoSpaceDE/>
              <w:autoSpaceDN/>
              <w:bidi w:val="0"/>
              <w:adjustRightInd/>
              <w:spacing w:line="38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1B33CB66">
            <w:pPr>
              <w:keepNext w:val="0"/>
              <w:keepLines w:val="0"/>
              <w:pageBreakBefore w:val="0"/>
              <w:kinsoku/>
              <w:overflowPunct/>
              <w:topLinePunct w:val="0"/>
              <w:autoSpaceDE/>
              <w:autoSpaceDN/>
              <w:bidi w:val="0"/>
              <w:adjustRightIn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2A8644BB">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532" w:type="dxa"/>
            <w:noWrap w:val="0"/>
            <w:vAlign w:val="center"/>
          </w:tcPr>
          <w:p w14:paraId="71B65438">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546" w:type="dxa"/>
            <w:noWrap w:val="0"/>
            <w:vAlign w:val="center"/>
          </w:tcPr>
          <w:p w14:paraId="3EC05BDA">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410D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153755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center"/>
          </w:tcPr>
          <w:p w14:paraId="097349B2">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32" w:type="dxa"/>
            <w:noWrap w:val="0"/>
            <w:vAlign w:val="center"/>
          </w:tcPr>
          <w:p w14:paraId="12ACCAF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noWrap w:val="0"/>
            <w:vAlign w:val="center"/>
          </w:tcPr>
          <w:p w14:paraId="6F074E6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387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65046A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noWrap w:val="0"/>
            <w:vAlign w:val="center"/>
          </w:tcPr>
          <w:p w14:paraId="3C08E846">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532" w:type="dxa"/>
            <w:noWrap w:val="0"/>
            <w:vAlign w:val="center"/>
          </w:tcPr>
          <w:p w14:paraId="2D56519E">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noWrap w:val="0"/>
            <w:vAlign w:val="center"/>
          </w:tcPr>
          <w:p w14:paraId="6B252B4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40D7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5DCDA5B">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noWrap w:val="0"/>
            <w:vAlign w:val="center"/>
          </w:tcPr>
          <w:p w14:paraId="46BA1BF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32" w:type="dxa"/>
            <w:noWrap w:val="0"/>
            <w:vAlign w:val="center"/>
          </w:tcPr>
          <w:p w14:paraId="0473D66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noWrap w:val="0"/>
            <w:vAlign w:val="center"/>
          </w:tcPr>
          <w:p w14:paraId="79B41E5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528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35827DEB">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noWrap w:val="0"/>
            <w:vAlign w:val="center"/>
          </w:tcPr>
          <w:p w14:paraId="5D22F9BF">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532" w:type="dxa"/>
            <w:noWrap w:val="0"/>
            <w:vAlign w:val="center"/>
          </w:tcPr>
          <w:p w14:paraId="5D072118">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noWrap w:val="0"/>
            <w:vAlign w:val="center"/>
          </w:tcPr>
          <w:p w14:paraId="279DA5D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913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1B5003C">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center"/>
          </w:tcPr>
          <w:p w14:paraId="7E3EFC2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32" w:type="dxa"/>
            <w:noWrap w:val="0"/>
            <w:vAlign w:val="center"/>
          </w:tcPr>
          <w:p w14:paraId="5D8076A7">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noWrap w:val="0"/>
            <w:vAlign w:val="center"/>
          </w:tcPr>
          <w:p w14:paraId="4DDAC1AD">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1FBB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6615BFB1">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noWrap w:val="0"/>
            <w:vAlign w:val="center"/>
          </w:tcPr>
          <w:p w14:paraId="555F40D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noWrap w:val="0"/>
            <w:vAlign w:val="center"/>
          </w:tcPr>
          <w:p w14:paraId="515C31F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46" w:type="dxa"/>
            <w:noWrap w:val="0"/>
            <w:vAlign w:val="center"/>
          </w:tcPr>
          <w:p w14:paraId="681AA6A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3A6A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74D525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noWrap w:val="0"/>
            <w:vAlign w:val="center"/>
          </w:tcPr>
          <w:p w14:paraId="72B4D664">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noWrap w:val="0"/>
            <w:vAlign w:val="center"/>
          </w:tcPr>
          <w:p w14:paraId="5A2EC43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46" w:type="dxa"/>
            <w:noWrap w:val="0"/>
            <w:vAlign w:val="center"/>
          </w:tcPr>
          <w:p w14:paraId="0C84A84A">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269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6CCD7F78">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noWrap w:val="0"/>
            <w:vAlign w:val="center"/>
          </w:tcPr>
          <w:p w14:paraId="57B1C9C3">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noWrap w:val="0"/>
            <w:vAlign w:val="center"/>
          </w:tcPr>
          <w:p w14:paraId="4E891D0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noWrap w:val="0"/>
            <w:vAlign w:val="center"/>
          </w:tcPr>
          <w:p w14:paraId="40B46B9B">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0C95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E899B00">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noWrap w:val="0"/>
            <w:vAlign w:val="center"/>
          </w:tcPr>
          <w:p w14:paraId="1018E7B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32" w:type="dxa"/>
            <w:noWrap w:val="0"/>
            <w:vAlign w:val="center"/>
          </w:tcPr>
          <w:p w14:paraId="0F34D8F2">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noWrap w:val="0"/>
            <w:vAlign w:val="center"/>
          </w:tcPr>
          <w:p w14:paraId="7A76772A">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1B1F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18CEF080">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noWrap w:val="0"/>
            <w:vAlign w:val="center"/>
          </w:tcPr>
          <w:p w14:paraId="078855AE">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32" w:type="dxa"/>
            <w:noWrap w:val="0"/>
            <w:vAlign w:val="center"/>
          </w:tcPr>
          <w:p w14:paraId="2452C390">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noWrap w:val="0"/>
            <w:vAlign w:val="center"/>
          </w:tcPr>
          <w:p w14:paraId="26706C42">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48193E8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（3）服务费指定银行账户：</w:t>
      </w:r>
    </w:p>
    <w:p w14:paraId="46830F88">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开户名称：广西国力招标有限公司</w:t>
      </w:r>
    </w:p>
    <w:p w14:paraId="362773A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开户银行：广西北部湾银行股份有限公司南宁市白沙支行（网银支付可选广西北部湾银行江南支行）</w:t>
      </w:r>
    </w:p>
    <w:p w14:paraId="212FEB5E">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银行账号：800109057400039 </w:t>
      </w:r>
    </w:p>
    <w:p w14:paraId="2F14E181">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银行行号：313611002051</w:t>
      </w:r>
    </w:p>
    <w:p w14:paraId="06DAF611">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19.2</w:t>
      </w:r>
      <w:r>
        <w:rPr>
          <w:rFonts w:hint="eastAsia" w:hAnsi="宋体"/>
          <w:b/>
          <w:color w:val="auto"/>
          <w:highlight w:val="none"/>
        </w:rPr>
        <w:t>解释权</w:t>
      </w:r>
    </w:p>
    <w:p w14:paraId="7976F252">
      <w:pPr>
        <w:keepNext w:val="0"/>
        <w:keepLines w:val="0"/>
        <w:pageBreakBefore w:val="0"/>
        <w:kinsoku/>
        <w:overflowPunct/>
        <w:topLinePunct w:val="0"/>
        <w:autoSpaceDE/>
        <w:autoSpaceDN/>
        <w:bidi w:val="0"/>
        <w:adjustRightInd/>
        <w:snapToGrid/>
        <w:spacing w:line="380" w:lineRule="exact"/>
        <w:ind w:firstLine="404" w:firstLineChars="200"/>
        <w:textAlignment w:val="auto"/>
        <w:rPr>
          <w:rFonts w:hint="eastAsia" w:hAnsi="宋体"/>
          <w:color w:val="auto"/>
          <w:spacing w:val="-4"/>
          <w:highlight w:val="none"/>
        </w:rPr>
      </w:pPr>
      <w:r>
        <w:rPr>
          <w:rFonts w:hint="eastAsia" w:hAnsi="宋体"/>
          <w:color w:val="auto"/>
          <w:spacing w:val="-4"/>
          <w:highlight w:val="none"/>
        </w:rPr>
        <w:t>本竞争性磋商文件是根据国家有关法律、法规以及采购管理的有关规定和参照国际惯例编制，解释权属本采购代理机构。</w:t>
      </w:r>
    </w:p>
    <w:p w14:paraId="77983306">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19.3</w:t>
      </w:r>
      <w:r>
        <w:rPr>
          <w:rFonts w:hint="eastAsia" w:hAnsi="宋体"/>
          <w:b/>
          <w:color w:val="auto"/>
          <w:highlight w:val="none"/>
        </w:rPr>
        <w:t>有关事宜</w:t>
      </w:r>
    </w:p>
    <w:p w14:paraId="01347290">
      <w:pPr>
        <w:keepNext w:val="0"/>
        <w:keepLines w:val="0"/>
        <w:pageBreakBefore w:val="0"/>
        <w:kinsoku/>
        <w:overflowPunct/>
        <w:topLinePunct w:val="0"/>
        <w:autoSpaceDE/>
        <w:autoSpaceDN/>
        <w:bidi w:val="0"/>
        <w:adjustRightInd/>
        <w:spacing w:line="380" w:lineRule="exact"/>
        <w:ind w:firstLine="420" w:firstLineChars="200"/>
        <w:textAlignment w:val="auto"/>
        <w:rPr>
          <w:rFonts w:ascii="Calibri" w:hAnsi="宋体" w:eastAsia="宋体" w:cs="Times New Roman"/>
          <w:color w:val="auto"/>
          <w:highlight w:val="none"/>
        </w:rPr>
      </w:pPr>
      <w:r>
        <w:rPr>
          <w:rFonts w:hint="eastAsia" w:ascii="Calibri" w:hAnsi="宋体" w:eastAsia="宋体" w:cs="Times New Roman"/>
          <w:color w:val="auto"/>
          <w:highlight w:val="none"/>
        </w:rPr>
        <w:t>所有与本竞争性磋商文件有关的函电请按下列通讯地址联系：</w:t>
      </w:r>
    </w:p>
    <w:p w14:paraId="475993D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广西国力招标有限公司</w:t>
      </w:r>
    </w:p>
    <w:p w14:paraId="041FE79B">
      <w:pPr>
        <w:widowControl w:val="0"/>
        <w:tabs>
          <w:tab w:val="left" w:pos="1990"/>
        </w:tabs>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邮政编码：530000</w:t>
      </w:r>
    </w:p>
    <w:p w14:paraId="0D2CA9FD">
      <w:pPr>
        <w:widowControl w:val="0"/>
        <w:tabs>
          <w:tab w:val="left" w:pos="1990"/>
        </w:tabs>
        <w:spacing w:line="380" w:lineRule="exact"/>
        <w:ind w:firstLine="420" w:firstLineChars="200"/>
        <w:jc w:val="both"/>
        <w:rPr>
          <w:rFonts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53D6D6F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话：0771—4915558</w:t>
      </w:r>
    </w:p>
    <w:p w14:paraId="62AA4A25">
      <w:pPr>
        <w:widowControl w:val="0"/>
        <w:tabs>
          <w:tab w:val="left" w:pos="1990"/>
        </w:tabs>
        <w:spacing w:line="380" w:lineRule="exact"/>
        <w:ind w:firstLine="420" w:firstLineChars="200"/>
        <w:jc w:val="both"/>
        <w:rPr>
          <w:rFonts w:ascii="宋体" w:hAnsi="宋体" w:eastAsia="宋体" w:cs="宋体"/>
          <w:b/>
          <w:color w:val="auto"/>
          <w:kern w:val="2"/>
          <w:sz w:val="32"/>
          <w:szCs w:val="32"/>
          <w:highlight w:val="none"/>
          <w:lang w:val="en-US" w:eastAsia="zh-CN" w:bidi="ar-SA"/>
        </w:rPr>
      </w:pPr>
      <w:r>
        <w:rPr>
          <w:rFonts w:hint="eastAsia" w:ascii="宋体" w:hAnsi="宋体" w:eastAsia="宋体" w:cs="宋体"/>
          <w:color w:val="auto"/>
          <w:kern w:val="2"/>
          <w:sz w:val="21"/>
          <w:szCs w:val="21"/>
          <w:highlight w:val="none"/>
          <w:lang w:val="en-US" w:eastAsia="zh-CN" w:bidi="ar-SA"/>
        </w:rPr>
        <w:t>传    真：0771—4915558、4915100</w:t>
      </w:r>
    </w:p>
    <w:p w14:paraId="775DB1D7">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p>
    <w:p w14:paraId="13B001D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6D9B00B3">
      <w:pPr>
        <w:spacing w:line="400" w:lineRule="exact"/>
        <w:jc w:val="center"/>
        <w:rPr>
          <w:rFonts w:hint="eastAsia" w:ascii="宋体" w:hAnsi="宋体"/>
          <w:b/>
          <w:color w:val="auto"/>
          <w:sz w:val="32"/>
          <w:szCs w:val="32"/>
          <w:highlight w:val="none"/>
        </w:rPr>
      </w:pPr>
    </w:p>
    <w:p w14:paraId="3AA79EBD">
      <w:pPr>
        <w:spacing w:line="400" w:lineRule="exact"/>
        <w:jc w:val="center"/>
        <w:rPr>
          <w:rFonts w:hint="eastAsia" w:ascii="宋体" w:hAnsi="宋体"/>
          <w:b/>
          <w:color w:val="auto"/>
          <w:sz w:val="32"/>
          <w:szCs w:val="32"/>
          <w:highlight w:val="none"/>
        </w:rPr>
      </w:pPr>
    </w:p>
    <w:p w14:paraId="7F082A5B">
      <w:pPr>
        <w:spacing w:line="400" w:lineRule="exact"/>
        <w:jc w:val="center"/>
        <w:rPr>
          <w:rFonts w:hint="eastAsia" w:ascii="宋体" w:hAnsi="宋体"/>
          <w:b/>
          <w:color w:val="auto"/>
          <w:sz w:val="32"/>
          <w:szCs w:val="32"/>
          <w:highlight w:val="none"/>
        </w:rPr>
      </w:pPr>
    </w:p>
    <w:p w14:paraId="511486A9">
      <w:pPr>
        <w:spacing w:line="400" w:lineRule="exact"/>
        <w:jc w:val="center"/>
        <w:rPr>
          <w:rFonts w:hint="eastAsia" w:ascii="宋体" w:hAnsi="宋体"/>
          <w:b/>
          <w:color w:val="auto"/>
          <w:sz w:val="32"/>
          <w:szCs w:val="32"/>
          <w:highlight w:val="none"/>
        </w:rPr>
      </w:pPr>
    </w:p>
    <w:p w14:paraId="43703E84">
      <w:pPr>
        <w:spacing w:line="400" w:lineRule="exact"/>
        <w:jc w:val="center"/>
        <w:rPr>
          <w:rFonts w:hint="eastAsia" w:ascii="宋体" w:hAnsi="宋体"/>
          <w:b/>
          <w:color w:val="auto"/>
          <w:sz w:val="32"/>
          <w:szCs w:val="32"/>
          <w:highlight w:val="none"/>
        </w:rPr>
      </w:pPr>
    </w:p>
    <w:p w14:paraId="2CD6C5D4">
      <w:pPr>
        <w:spacing w:line="400" w:lineRule="exact"/>
        <w:jc w:val="center"/>
        <w:rPr>
          <w:rFonts w:hint="eastAsia" w:ascii="宋体" w:hAnsi="宋体"/>
          <w:b/>
          <w:color w:val="auto"/>
          <w:sz w:val="32"/>
          <w:szCs w:val="32"/>
          <w:highlight w:val="none"/>
        </w:rPr>
      </w:pPr>
    </w:p>
    <w:p w14:paraId="668E2C8D">
      <w:pPr>
        <w:spacing w:line="400" w:lineRule="exact"/>
        <w:jc w:val="center"/>
        <w:rPr>
          <w:rFonts w:hint="eastAsia" w:ascii="宋体" w:hAnsi="宋体"/>
          <w:b/>
          <w:color w:val="auto"/>
          <w:sz w:val="32"/>
          <w:szCs w:val="32"/>
          <w:highlight w:val="none"/>
        </w:rPr>
      </w:pPr>
    </w:p>
    <w:p w14:paraId="19177146">
      <w:pPr>
        <w:spacing w:line="400" w:lineRule="exact"/>
        <w:jc w:val="center"/>
        <w:rPr>
          <w:rFonts w:hint="eastAsia" w:ascii="宋体" w:hAnsi="宋体"/>
          <w:b/>
          <w:color w:val="auto"/>
          <w:sz w:val="32"/>
          <w:szCs w:val="32"/>
          <w:highlight w:val="none"/>
        </w:rPr>
      </w:pPr>
    </w:p>
    <w:p w14:paraId="13B4E3BB">
      <w:pPr>
        <w:spacing w:line="400" w:lineRule="exact"/>
        <w:jc w:val="center"/>
        <w:rPr>
          <w:rFonts w:hint="eastAsia" w:ascii="宋体" w:hAnsi="宋体"/>
          <w:b/>
          <w:color w:val="auto"/>
          <w:sz w:val="32"/>
          <w:szCs w:val="32"/>
          <w:highlight w:val="none"/>
        </w:rPr>
      </w:pPr>
    </w:p>
    <w:p w14:paraId="5D3023C6">
      <w:pPr>
        <w:spacing w:line="400" w:lineRule="exact"/>
        <w:jc w:val="center"/>
        <w:rPr>
          <w:rFonts w:hint="eastAsia" w:ascii="宋体" w:hAnsi="宋体"/>
          <w:b/>
          <w:color w:val="auto"/>
          <w:sz w:val="32"/>
          <w:szCs w:val="32"/>
          <w:highlight w:val="none"/>
        </w:rPr>
      </w:pPr>
    </w:p>
    <w:p w14:paraId="5C7BF1BC">
      <w:pPr>
        <w:spacing w:line="400" w:lineRule="exact"/>
        <w:jc w:val="center"/>
        <w:rPr>
          <w:rFonts w:hint="eastAsia" w:ascii="宋体" w:hAnsi="宋体"/>
          <w:b/>
          <w:color w:val="auto"/>
          <w:sz w:val="32"/>
          <w:szCs w:val="32"/>
          <w:highlight w:val="none"/>
        </w:rPr>
      </w:pPr>
    </w:p>
    <w:p w14:paraId="06BBFDC3">
      <w:pPr>
        <w:spacing w:line="400" w:lineRule="exact"/>
        <w:rPr>
          <w:rFonts w:hint="eastAsia" w:ascii="宋体" w:hAnsi="宋体"/>
          <w:b/>
          <w:color w:val="auto"/>
          <w:sz w:val="32"/>
          <w:szCs w:val="32"/>
          <w:highlight w:val="none"/>
        </w:rPr>
      </w:pPr>
    </w:p>
    <w:p w14:paraId="4EBB5A3E">
      <w:pPr>
        <w:pStyle w:val="17"/>
        <w:rPr>
          <w:rFonts w:hint="eastAsia"/>
          <w:color w:val="auto"/>
          <w:sz w:val="44"/>
          <w:szCs w:val="44"/>
          <w:highlight w:val="none"/>
        </w:rPr>
      </w:pPr>
      <w:bookmarkStart w:id="49" w:name="_Toc476258758"/>
      <w:bookmarkStart w:id="50" w:name="_Toc476258664"/>
      <w:r>
        <w:rPr>
          <w:rFonts w:hint="eastAsia"/>
          <w:color w:val="auto"/>
          <w:sz w:val="44"/>
          <w:szCs w:val="44"/>
          <w:highlight w:val="none"/>
        </w:rPr>
        <w:t>第三章  采购需求</w:t>
      </w:r>
      <w:bookmarkEnd w:id="49"/>
      <w:bookmarkEnd w:id="50"/>
    </w:p>
    <w:p w14:paraId="17AD7C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4D2A6C8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一、</w:t>
      </w:r>
      <w:r>
        <w:rPr>
          <w:rFonts w:hint="eastAsia" w:ascii="宋体" w:hAnsi="Courier New" w:eastAsia="宋体" w:cs="Courier New"/>
          <w:color w:val="auto"/>
          <w:kern w:val="2"/>
          <w:sz w:val="21"/>
          <w:szCs w:val="21"/>
          <w:highlight w:val="none"/>
          <w:lang w:val="en-US" w:eastAsia="zh-CN" w:bidi="ar-SA"/>
        </w:rPr>
        <w:t>采购项目编号：</w:t>
      </w:r>
      <w:r>
        <w:rPr>
          <w:rFonts w:hint="eastAsia" w:ascii="宋体" w:hAnsi="Courier New" w:cs="Courier New"/>
          <w:color w:val="auto"/>
          <w:kern w:val="2"/>
          <w:sz w:val="21"/>
          <w:szCs w:val="21"/>
          <w:highlight w:val="none"/>
          <w:lang w:val="en-US" w:eastAsia="zh-CN" w:bidi="ar-SA"/>
        </w:rPr>
        <w:t>GXGL2025S-C567-Z（2）</w:t>
      </w:r>
    </w:p>
    <w:p w14:paraId="7D1E757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二、采购项目类别：</w:t>
      </w:r>
      <w:r>
        <w:rPr>
          <w:rFonts w:hint="eastAsia" w:ascii="宋体" w:hAnsi="宋体"/>
          <w:color w:val="auto"/>
          <w:sz w:val="21"/>
          <w:szCs w:val="21"/>
          <w:highlight w:val="none"/>
          <w:u w:val="single"/>
        </w:rPr>
        <w:t xml:space="preserve">  服务类  </w:t>
      </w:r>
    </w:p>
    <w:p w14:paraId="1FD798D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三、采购需求一览表</w:t>
      </w:r>
    </w:p>
    <w:p w14:paraId="5FB60728">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说明：</w:t>
      </w:r>
    </w:p>
    <w:p w14:paraId="7D8FF7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本项目需求表中带有“▲”的技术参数或要求为实质性要求，必须满足，竞标响应不得低于该技术指标或要求。未标注“▲”的参数或条款发生负偏离或不响应达</w:t>
      </w:r>
      <w:r>
        <w:rPr>
          <w:rFonts w:hint="eastAsia" w:ascii="宋体" w:hAnsi="宋体"/>
          <w:color w:val="auto"/>
          <w:sz w:val="21"/>
          <w:szCs w:val="21"/>
          <w:highlight w:val="none"/>
          <w:u w:val="single"/>
          <w:lang w:val="en-US" w:eastAsia="zh-CN"/>
        </w:rPr>
        <w:t xml:space="preserve"> 2 </w:t>
      </w:r>
      <w:r>
        <w:rPr>
          <w:rFonts w:hint="eastAsia" w:ascii="宋体" w:hAnsi="宋体"/>
          <w:color w:val="auto"/>
          <w:sz w:val="21"/>
          <w:szCs w:val="21"/>
          <w:highlight w:val="none"/>
        </w:rPr>
        <w:t>项（含）以上的，响应无效。</w:t>
      </w:r>
    </w:p>
    <w:p w14:paraId="71E80E4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供应商所竞标货物或服务如国家有强制性要求的按国家规定执行，若执行标准有修改或更新按最新版本执行。</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580"/>
        <w:gridCol w:w="485"/>
        <w:gridCol w:w="436"/>
        <w:gridCol w:w="436"/>
        <w:gridCol w:w="6932"/>
      </w:tblGrid>
      <w:tr w14:paraId="71BA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5845174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489DD2B1">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eastAsia="zh-CN"/>
              </w:rPr>
              <w:t>内容</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074FB4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285F094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718918B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内容和要求</w:t>
            </w:r>
          </w:p>
        </w:tc>
      </w:tr>
      <w:tr w14:paraId="43F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736D91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3E7B08A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广西财经学院明秀校区总平规划调整和修建性详细规划项目</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EFD120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06309E2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3730" w:type="pct"/>
            <w:tcBorders>
              <w:top w:val="single" w:color="auto" w:sz="4" w:space="0"/>
              <w:left w:val="single" w:color="auto" w:sz="4" w:space="0"/>
              <w:right w:val="single" w:color="auto" w:sz="4" w:space="0"/>
            </w:tcBorders>
            <w:noWrap w:val="0"/>
            <w:vAlign w:val="top"/>
          </w:tcPr>
          <w:p w14:paraId="1C4D94A1">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14:paraId="3D44C167">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ascii="宋体" w:hAnsi="宋体" w:cs="宋体"/>
                <w:color w:val="auto"/>
                <w:sz w:val="21"/>
                <w:szCs w:val="21"/>
                <w:highlight w:val="none"/>
                <w:lang w:eastAsia="zh-CN"/>
              </w:rPr>
              <w:t>广西财经学院明秀校区总平规划调整和修建性详细规划项目（重）</w:t>
            </w:r>
          </w:p>
          <w:p w14:paraId="31AE1C9F">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项目背景：随着武鸣校区及危旧房改住房项目投入使用，学校具备条件对明秀校区（占地367亩）进行系统性改造，解决设施老化、功能缺失问题。</w:t>
            </w:r>
          </w:p>
          <w:p w14:paraId="06A10709">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建设规模：总建筑面积约23.1万㎡。</w:t>
            </w:r>
          </w:p>
          <w:p w14:paraId="58E35F24">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建设内容：教学楼、实训楼、学生公寓、办公楼、食堂、道路、园林景观等配套工程。</w:t>
            </w:r>
          </w:p>
          <w:p w14:paraId="28B05083">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采购目标：完成总平规划调整及修建性详细规划编制，支撑后续建设报批与施工。</w:t>
            </w:r>
          </w:p>
          <w:p w14:paraId="413CFA4C">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二、采购内容及要求</w:t>
            </w:r>
          </w:p>
          <w:p w14:paraId="0892E210">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（一）服务范围</w:t>
            </w:r>
          </w:p>
          <w:p w14:paraId="02031791">
            <w:pPr>
              <w:keepNext w:val="0"/>
              <w:keepLines w:val="0"/>
              <w:tabs>
                <w:tab w:val="left" w:pos="2190"/>
              </w:tabs>
              <w:spacing w:line="400" w:lineRule="exact"/>
              <w:ind w:firstLine="420" w:firstLineChars="200"/>
              <w:jc w:val="left"/>
              <w:rPr>
                <w:rFonts w:hint="eastAsia" w:ascii="宋体" w:hAnsi="宋体" w:cs="宋体"/>
                <w:color w:val="auto"/>
                <w:szCs w:val="21"/>
                <w:highlight w:val="none"/>
              </w:rPr>
            </w:pPr>
            <w:bookmarkStart w:id="51" w:name="一-总平规划调整方案设计"/>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总平规划调整方案设计</w:t>
            </w:r>
          </w:p>
          <w:p w14:paraId="09C2545B">
            <w:pPr>
              <w:tabs>
                <w:tab w:val="left" w:pos="2190"/>
              </w:tabs>
              <w:spacing w:line="400" w:lineRule="exact"/>
              <w:ind w:left="0" w:firstLine="420" w:firstLineChars="200"/>
              <w:jc w:val="lef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rPr>
              <w:t>现状调研与综合评估</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功能分区优化与空间布局</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交通组织与竖向设计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主要设施规划</w:t>
            </w:r>
            <w:r>
              <w:rPr>
                <w:rFonts w:hint="eastAsia" w:ascii="宋体" w:hAnsi="宋体" w:cs="宋体"/>
                <w:b w:val="0"/>
                <w:bCs w:val="0"/>
                <w:color w:val="auto"/>
                <w:szCs w:val="21"/>
                <w:highlight w:val="none"/>
                <w:lang w:eastAsia="zh-CN"/>
              </w:rPr>
              <w:t>。</w:t>
            </w:r>
          </w:p>
          <w:bookmarkEnd w:id="51"/>
          <w:p w14:paraId="64817DDB">
            <w:pPr>
              <w:keepNext w:val="0"/>
              <w:keepLines w:val="0"/>
              <w:tabs>
                <w:tab w:val="left" w:pos="2190"/>
              </w:tabs>
              <w:spacing w:line="400" w:lineRule="exact"/>
              <w:ind w:firstLine="420" w:firstLineChars="200"/>
              <w:jc w:val="left"/>
              <w:rPr>
                <w:rFonts w:hint="eastAsia" w:ascii="宋体" w:hAnsi="宋体" w:cs="宋体"/>
                <w:color w:val="auto"/>
                <w:szCs w:val="21"/>
                <w:highlight w:val="none"/>
              </w:rPr>
            </w:pPr>
            <w:bookmarkStart w:id="52" w:name="二-修建性详细规划编制"/>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修建性详细规划编制</w:t>
            </w:r>
          </w:p>
          <w:p w14:paraId="6DF94AA3">
            <w:pPr>
              <w:tabs>
                <w:tab w:val="left" w:pos="2190"/>
              </w:tabs>
              <w:spacing w:line="400" w:lineRule="exact"/>
              <w:ind w:left="0"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建筑布局与管控</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建筑改造与更新设计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基础设施专项规划（道路工程</w:t>
            </w:r>
            <w:r>
              <w:rPr>
                <w:rFonts w:hint="eastAsia" w:ascii="宋体" w:hAnsi="宋体" w:eastAsia="宋体" w:cs="宋体"/>
                <w:color w:val="auto"/>
                <w:szCs w:val="21"/>
                <w:highlight w:val="none"/>
                <w:lang w:eastAsia="zh-CN"/>
              </w:rPr>
              <w:t>、</w:t>
            </w:r>
            <w:r>
              <w:rPr>
                <w:rFonts w:hint="eastAsia" w:ascii="宋体" w:hAnsi="宋体" w:cs="宋体"/>
                <w:b w:val="0"/>
                <w:bCs w:val="0"/>
                <w:color w:val="auto"/>
                <w:szCs w:val="21"/>
                <w:highlight w:val="none"/>
              </w:rPr>
              <w:t>管线综合规划）</w:t>
            </w:r>
            <w:r>
              <w:rPr>
                <w:rFonts w:hint="eastAsia" w:ascii="宋体" w:hAnsi="宋体" w:cs="宋体"/>
                <w:color w:val="auto"/>
                <w:szCs w:val="21"/>
                <w:highlight w:val="none"/>
                <w:lang w:eastAsia="zh-CN"/>
              </w:rPr>
              <w:t>、</w:t>
            </w:r>
            <w:r>
              <w:rPr>
                <w:rFonts w:hint="eastAsia" w:ascii="宋体" w:hAnsi="宋体" w:cs="宋体"/>
                <w:b w:val="0"/>
                <w:bCs w:val="0"/>
                <w:color w:val="auto"/>
                <w:szCs w:val="21"/>
                <w:highlight w:val="none"/>
              </w:rPr>
              <w:t>景观系统方案设计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经济技术指标复核与平衡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分期建设规划。</w:t>
            </w:r>
          </w:p>
          <w:bookmarkEnd w:id="52"/>
          <w:p w14:paraId="701C110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（二）交付成果要求</w:t>
            </w:r>
          </w:p>
          <w:p w14:paraId="7AD58E2B">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成果形式：</w:t>
            </w:r>
            <w:r>
              <w:rPr>
                <w:rFonts w:hint="eastAsia" w:ascii="宋体" w:hAnsi="宋体" w:cs="宋体"/>
                <w:color w:val="auto"/>
                <w:szCs w:val="21"/>
                <w:highlight w:val="none"/>
              </w:rPr>
              <w:t xml:space="preserve"> 完整的规划文本、说明书、图集及相应的电子文件（CAD, PDF, JPG等通用格式）。文本说明书应内容详实、论述清晰、逻辑严密。</w:t>
            </w:r>
            <w:r>
              <w:rPr>
                <w:rFonts w:hint="eastAsia" w:ascii="宋体" w:hAnsi="宋体" w:eastAsia="宋体" w:cs="宋体"/>
                <w:color w:val="auto"/>
                <w:sz w:val="21"/>
                <w:szCs w:val="21"/>
                <w:highlight w:val="none"/>
                <w:lang w:eastAsia="zh-CN"/>
              </w:rPr>
              <w:t>CAD格式（分图层）、PDF图集、汇报PPT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BIM模型（建议提供LOD300深度模型）</w:t>
            </w:r>
            <w:r>
              <w:rPr>
                <w:rFonts w:hint="eastAsia" w:ascii="宋体" w:hAnsi="宋体" w:cs="宋体"/>
                <w:color w:val="auto"/>
                <w:sz w:val="21"/>
                <w:szCs w:val="21"/>
                <w:highlight w:val="none"/>
                <w:lang w:eastAsia="zh-CN"/>
              </w:rPr>
              <w:t>。</w:t>
            </w:r>
          </w:p>
          <w:p w14:paraId="2509065A">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以上材料，纸质版一式捌份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电子文档刻成电子光盘一式两份。</w:t>
            </w:r>
          </w:p>
          <w:p w14:paraId="3FE42BC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图纸内容（包括但不限于）：</w:t>
            </w:r>
          </w:p>
          <w:p w14:paraId="0A7BA45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区位图</w:t>
            </w:r>
          </w:p>
          <w:p w14:paraId="2CC26186">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现状综合分析图（地形、建筑、设施、风貌、问题等）</w:t>
            </w:r>
          </w:p>
          <w:p w14:paraId="7FC2DABA">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总平面规划调整方案图（含功能分区、建筑布局、交通组织、竖向、主要设施）</w:t>
            </w:r>
          </w:p>
          <w:p w14:paraId="25061F5D">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建筑改造更新方案示意图/效果图（关键节点）</w:t>
            </w:r>
          </w:p>
          <w:p w14:paraId="4E6DE5E6">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交通系统规划图（车行、步行、停车）</w:t>
            </w:r>
          </w:p>
          <w:p w14:paraId="6E470CB5">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竖向规划图</w:t>
            </w:r>
          </w:p>
          <w:p w14:paraId="68DF8649">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管线综合规划图（含平面综合图、标准横断面图）</w:t>
            </w:r>
          </w:p>
          <w:p w14:paraId="208476AF">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景观系统规划图（含绿化、铺装、设施布局）</w:t>
            </w:r>
          </w:p>
          <w:p w14:paraId="78F9307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分期建设规划图（如有）</w:t>
            </w:r>
          </w:p>
          <w:p w14:paraId="3BD4A40E">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主要经济技术指标表</w:t>
            </w:r>
          </w:p>
          <w:p w14:paraId="068BD59E">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表达设计意图的分析图（如空间结构、视线通廊、活动流线等）</w:t>
            </w:r>
          </w:p>
          <w:p w14:paraId="46747D88">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深度要求：</w:t>
            </w:r>
            <w:r>
              <w:rPr>
                <w:rFonts w:hint="eastAsia" w:ascii="宋体" w:hAnsi="宋体" w:cs="宋体"/>
                <w:color w:val="auto"/>
                <w:szCs w:val="21"/>
                <w:highlight w:val="none"/>
              </w:rPr>
              <w:t xml:space="preserve"> 必须达到国家和地方关于</w:t>
            </w:r>
            <w:r>
              <w:rPr>
                <w:rFonts w:hint="eastAsia" w:ascii="宋体" w:hAnsi="宋体" w:cs="宋体"/>
                <w:b w:val="0"/>
                <w:bCs w:val="0"/>
                <w:color w:val="auto"/>
                <w:szCs w:val="21"/>
                <w:highlight w:val="none"/>
              </w:rPr>
              <w:t>总平面规划调整</w:t>
            </w:r>
            <w:r>
              <w:rPr>
                <w:rFonts w:hint="eastAsia" w:ascii="宋体" w:hAnsi="宋体" w:cs="宋体"/>
                <w:color w:val="auto"/>
                <w:szCs w:val="21"/>
                <w:highlight w:val="none"/>
              </w:rPr>
              <w:t>及</w:t>
            </w:r>
            <w:r>
              <w:rPr>
                <w:rFonts w:hint="eastAsia" w:ascii="宋体" w:hAnsi="宋体" w:cs="宋体"/>
                <w:b w:val="0"/>
                <w:bCs w:val="0"/>
                <w:color w:val="auto"/>
                <w:szCs w:val="21"/>
                <w:highlight w:val="none"/>
              </w:rPr>
              <w:t>修建性详细规划</w:t>
            </w:r>
            <w:r>
              <w:rPr>
                <w:rFonts w:hint="eastAsia" w:ascii="宋体" w:hAnsi="宋体" w:cs="宋体"/>
                <w:color w:val="auto"/>
                <w:szCs w:val="21"/>
                <w:highlight w:val="none"/>
              </w:rPr>
              <w:t>编制的相关深度规定，能够支撑后续的工程方案设计、初步设计和施工图设计，并满足规划主管部门的审批要求。</w:t>
            </w:r>
          </w:p>
          <w:p w14:paraId="0F3E66A3">
            <w:pPr>
              <w:keepNext w:val="0"/>
              <w:keepLines w:val="0"/>
              <w:tabs>
                <w:tab w:val="left" w:pos="2190"/>
              </w:tabs>
              <w:spacing w:line="400" w:lineRule="exact"/>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服务要求</w:t>
            </w:r>
          </w:p>
          <w:p w14:paraId="2E3A6659">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充分沟通：</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单位需与校方（基建中心、使用部门等）建立高效沟通机制，进行多轮方案汇报、讨论和修改完善。</w:t>
            </w:r>
          </w:p>
          <w:p w14:paraId="40D6E86C">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现场踏勘：</w:t>
            </w:r>
            <w:r>
              <w:rPr>
                <w:rFonts w:hint="eastAsia" w:ascii="宋体" w:hAnsi="宋体" w:cs="宋体"/>
                <w:color w:val="auto"/>
                <w:szCs w:val="21"/>
                <w:highlight w:val="none"/>
              </w:rPr>
              <w:t>必须进行详细、深入的现场踏勘，并与校方管理人员、技术人员充分交流。</w:t>
            </w:r>
          </w:p>
          <w:p w14:paraId="557CBE87">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专家评审：</w:t>
            </w:r>
            <w:r>
              <w:rPr>
                <w:rFonts w:hint="eastAsia" w:ascii="宋体" w:hAnsi="宋体" w:cs="宋体"/>
                <w:color w:val="auto"/>
                <w:szCs w:val="21"/>
                <w:highlight w:val="none"/>
              </w:rPr>
              <w:t>积极配合校方</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组织的专家评审会，并根据评审意见修改完善成果。</w:t>
            </w:r>
          </w:p>
          <w:p w14:paraId="4436D7F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jc w:val="left"/>
              <w:textAlignment w:val="auto"/>
              <w:rPr>
                <w:rFonts w:hint="default" w:eastAsia="宋体"/>
                <w:color w:val="auto"/>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报批配合：</w:t>
            </w:r>
            <w:r>
              <w:rPr>
                <w:rFonts w:hint="eastAsia" w:ascii="宋体" w:hAnsi="宋体" w:cs="宋体"/>
                <w:color w:val="auto"/>
                <w:szCs w:val="21"/>
                <w:highlight w:val="none"/>
              </w:rPr>
              <w:t>负责规划成果向相关政府主管部门（自然资源与规划局等）报批所需的汇报、解释、修改等工作，直至获得正式批复文件。</w:t>
            </w:r>
          </w:p>
        </w:tc>
      </w:tr>
      <w:tr w14:paraId="4432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58BBDDE5">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商务要求</w:t>
            </w:r>
            <w:r>
              <w:rPr>
                <w:rFonts w:hint="eastAsia" w:ascii="宋体" w:hAnsi="宋体" w:eastAsia="宋体" w:cs="宋体"/>
                <w:bCs/>
                <w:color w:val="auto"/>
                <w:sz w:val="21"/>
                <w:szCs w:val="21"/>
                <w:highlight w:val="none"/>
                <w:lang w:eastAsia="zh-CN"/>
              </w:rPr>
              <w:t>表</w:t>
            </w:r>
          </w:p>
        </w:tc>
      </w:tr>
      <w:tr w14:paraId="76E42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4BB6FB8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服务期限</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15993D0">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日内提交初步方案，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日内完成方案深化及评审，</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日内交付最终成果。</w:t>
            </w:r>
          </w:p>
        </w:tc>
      </w:tr>
      <w:tr w14:paraId="7884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7066F08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现场服务</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2A21F94">
            <w:pPr>
              <w:keepNext w:val="0"/>
              <w:keepLines w:val="0"/>
              <w:pageBreakBefore w:val="0"/>
              <w:widowControl w:val="0"/>
              <w:tabs>
                <w:tab w:val="left" w:pos="312"/>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成交供应商</w:t>
            </w:r>
            <w:r>
              <w:rPr>
                <w:rFonts w:hint="eastAsia" w:ascii="宋体" w:hAnsi="宋体" w:eastAsia="宋体" w:cs="宋体"/>
                <w:bCs/>
                <w:color w:val="auto"/>
                <w:kern w:val="0"/>
                <w:sz w:val="21"/>
                <w:szCs w:val="21"/>
                <w:highlight w:val="none"/>
              </w:rPr>
              <w:t>至少开展3次现场踏勘，参与3次</w:t>
            </w:r>
            <w:r>
              <w:rPr>
                <w:rFonts w:hint="eastAsia" w:ascii="宋体" w:hAnsi="宋体" w:cs="宋体"/>
                <w:bCs/>
                <w:color w:val="auto"/>
                <w:kern w:val="0"/>
                <w:sz w:val="21"/>
                <w:szCs w:val="21"/>
                <w:highlight w:val="none"/>
                <w:lang w:val="en-US" w:eastAsia="zh-CN"/>
              </w:rPr>
              <w:t>采购人</w:t>
            </w:r>
            <w:r>
              <w:rPr>
                <w:rFonts w:hint="eastAsia" w:ascii="宋体" w:hAnsi="宋体" w:eastAsia="宋体" w:cs="宋体"/>
                <w:bCs/>
                <w:color w:val="auto"/>
                <w:kern w:val="0"/>
                <w:sz w:val="21"/>
                <w:szCs w:val="21"/>
                <w:highlight w:val="none"/>
              </w:rPr>
              <w:t>组织的方案论证会。</w:t>
            </w:r>
          </w:p>
        </w:tc>
      </w:tr>
      <w:tr w14:paraId="059D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0A1E32F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质量要求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C696BC3">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符合《城市规划编制办法》《民用建筑设计统一标准》等规范</w:t>
            </w:r>
            <w:r>
              <w:rPr>
                <w:rFonts w:hint="eastAsia" w:ascii="宋体" w:hAnsi="宋体" w:cs="宋体"/>
                <w:bCs/>
                <w:color w:val="auto"/>
                <w:sz w:val="21"/>
                <w:szCs w:val="21"/>
                <w:highlight w:val="none"/>
                <w:lang w:val="en-US" w:eastAsia="zh-CN"/>
              </w:rPr>
              <w:t>。</w:t>
            </w:r>
          </w:p>
          <w:p w14:paraId="003EFA56">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满足绿色建筑二星级标准要求</w:t>
            </w:r>
            <w:r>
              <w:rPr>
                <w:rFonts w:hint="eastAsia" w:ascii="宋体" w:hAnsi="宋体" w:cs="宋体"/>
                <w:bCs/>
                <w:color w:val="auto"/>
                <w:sz w:val="21"/>
                <w:szCs w:val="21"/>
                <w:highlight w:val="none"/>
                <w:lang w:val="en-US" w:eastAsia="zh-CN"/>
              </w:rPr>
              <w:t>。</w:t>
            </w:r>
          </w:p>
          <w:p w14:paraId="7CEEEBA5">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新建建筑与保留建筑风貌协调。</w:t>
            </w:r>
          </w:p>
        </w:tc>
      </w:tr>
      <w:tr w14:paraId="66253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6713A96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报价要求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0911842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是履行合同的最终价格，包括调研费、设计费、专家评审费、差旅费及税费等全部费用。对于本文件中未列明，而磋商供应商认为必需的费用也需列入总报价。在合同实施时，采购人将不予支付成交供应商没有列入的项目费用，并认为此项目的费用已包括在总报价中。</w:t>
            </w:r>
          </w:p>
        </w:tc>
      </w:tr>
      <w:tr w14:paraId="1AF3F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0311F7B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其他要求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00D81EF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知识产权：所有成果版权归采购方所有。</w:t>
            </w:r>
          </w:p>
          <w:p w14:paraId="048466B6">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保密义务：供应商不得泄露校园测绘数据及规划细节。</w:t>
            </w:r>
          </w:p>
          <w:p w14:paraId="0B044568">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后续服务：提供施工阶段技术咨询。</w:t>
            </w:r>
          </w:p>
        </w:tc>
      </w:tr>
      <w:tr w14:paraId="55DB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5"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503D3F2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履约保证金</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0C6802D">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履约保证金</w:t>
            </w:r>
            <w:r>
              <w:rPr>
                <w:rFonts w:hint="eastAsia" w:ascii="宋体" w:hAnsi="宋体" w:cs="宋体"/>
                <w:bCs/>
                <w:color w:val="auto"/>
                <w:sz w:val="21"/>
                <w:szCs w:val="21"/>
                <w:highlight w:val="none"/>
                <w:lang w:val="en-US" w:eastAsia="zh-CN"/>
              </w:rPr>
              <w:t>金额：3.6</w:t>
            </w:r>
            <w:r>
              <w:rPr>
                <w:rFonts w:hint="eastAsia" w:ascii="宋体" w:hAnsi="宋体" w:eastAsia="宋体" w:cs="宋体"/>
                <w:bCs/>
                <w:color w:val="auto"/>
                <w:sz w:val="21"/>
                <w:szCs w:val="21"/>
                <w:highlight w:val="none"/>
              </w:rPr>
              <w:t>万元，</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在签订合同前交至指定账户。</w:t>
            </w:r>
          </w:p>
          <w:p w14:paraId="43B4FBD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履约保证金递交方式：支票、汇票、本票、网上银行或者银行保函等非现金形式。</w:t>
            </w:r>
          </w:p>
          <w:p w14:paraId="1429301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履约保证金指定账户：</w:t>
            </w:r>
          </w:p>
          <w:p w14:paraId="56DB76FC">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开户名称：广西财经学院</w:t>
            </w:r>
          </w:p>
          <w:p w14:paraId="1F4CB8CA">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开户银行：中国银行南宁明秀西路支行</w:t>
            </w:r>
          </w:p>
          <w:p w14:paraId="20A775DA">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银行账号：611957485481</w:t>
            </w:r>
          </w:p>
          <w:p w14:paraId="64C33912">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履约保证金退付方式、时间及条件：本项目履约保证金在</w:t>
            </w:r>
            <w:r>
              <w:rPr>
                <w:rFonts w:hint="eastAsia" w:ascii="宋体" w:hAnsi="宋体" w:cs="宋体"/>
                <w:bCs/>
                <w:color w:val="auto"/>
                <w:sz w:val="21"/>
                <w:szCs w:val="21"/>
                <w:highlight w:val="none"/>
                <w:lang w:val="en-US" w:eastAsia="zh-CN"/>
              </w:rPr>
              <w:t>项目完成</w:t>
            </w:r>
            <w:r>
              <w:rPr>
                <w:rFonts w:hint="eastAsia" w:ascii="宋体" w:hAnsi="宋体" w:eastAsia="宋体" w:cs="宋体"/>
                <w:bCs/>
                <w:color w:val="auto"/>
                <w:sz w:val="21"/>
                <w:szCs w:val="21"/>
                <w:highlight w:val="none"/>
              </w:rPr>
              <w:t>后，若成交供应商无违约行为，采购人在收到成交供应商提交的退还履约保证金申请书后20个工作日内，将履约保证金无息退回给成交供应商。</w:t>
            </w:r>
          </w:p>
        </w:tc>
      </w:tr>
      <w:tr w14:paraId="085E2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3C3CF5D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付款方式</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70137E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sz w:val="21"/>
                <w:szCs w:val="21"/>
                <w:highlight w:val="none"/>
                <w:lang w:val="en-US" w:eastAsia="zh-CN"/>
              </w:rPr>
              <w:t>提交合格成果并通过学校审核支付合同款项的30%；</w:t>
            </w:r>
          </w:p>
          <w:p w14:paraId="759A1A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bCs/>
                <w:color w:val="auto"/>
                <w:sz w:val="21"/>
                <w:szCs w:val="21"/>
                <w:highlight w:val="none"/>
                <w:lang w:val="en-US" w:eastAsia="zh-CN"/>
              </w:rPr>
            </w:pPr>
            <w:r>
              <w:rPr>
                <w:rFonts w:hint="default" w:ascii="宋体" w:hAnsi="宋体" w:eastAsia="宋体" w:cs="宋体"/>
                <w:bCs/>
                <w:color w:val="auto"/>
                <w:kern w:val="2"/>
                <w:sz w:val="21"/>
                <w:szCs w:val="21"/>
                <w:highlight w:val="none"/>
                <w:lang w:val="en-US" w:eastAsia="zh-CN" w:bidi="ar-SA"/>
              </w:rPr>
              <w:t>2.</w:t>
            </w:r>
            <w:r>
              <w:rPr>
                <w:rStyle w:val="21"/>
                <w:rFonts w:hint="eastAsia" w:ascii="宋体" w:hAnsi="宋体" w:eastAsia="宋体" w:cs="宋体"/>
                <w:b w:val="0"/>
                <w:bCs/>
                <w:i w:val="0"/>
                <w:iCs w:val="0"/>
                <w:caps w:val="0"/>
                <w:color w:val="auto"/>
                <w:spacing w:val="0"/>
                <w:sz w:val="21"/>
                <w:szCs w:val="21"/>
                <w:highlight w:val="none"/>
                <w:shd w:val="clear"/>
              </w:rPr>
              <w:t>获得政府规划主管部门正式批复</w:t>
            </w:r>
            <w:r>
              <w:rPr>
                <w:rStyle w:val="21"/>
                <w:rFonts w:hint="eastAsia" w:ascii="宋体" w:hAnsi="宋体" w:eastAsia="宋体" w:cs="宋体"/>
                <w:b w:val="0"/>
                <w:bCs/>
                <w:i w:val="0"/>
                <w:iCs w:val="0"/>
                <w:caps w:val="0"/>
                <w:color w:val="auto"/>
                <w:spacing w:val="0"/>
                <w:sz w:val="21"/>
                <w:szCs w:val="21"/>
                <w:highlight w:val="none"/>
                <w:shd w:val="clear"/>
                <w:lang w:val="en-US" w:eastAsia="zh-CN"/>
              </w:rPr>
              <w:t>支付合同款项的30%；</w:t>
            </w:r>
          </w:p>
          <w:p w14:paraId="59B7FC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bCs/>
                <w:color w:val="auto"/>
                <w:sz w:val="21"/>
                <w:szCs w:val="21"/>
                <w:highlight w:val="none"/>
                <w:lang w:val="en-US" w:eastAsia="zh-CN"/>
              </w:rPr>
            </w:pPr>
            <w:r>
              <w:rPr>
                <w:rFonts w:hint="default" w:ascii="宋体" w:hAnsi="宋体" w:eastAsia="宋体" w:cs="宋体"/>
                <w:bCs/>
                <w:color w:val="auto"/>
                <w:kern w:val="2"/>
                <w:sz w:val="21"/>
                <w:szCs w:val="21"/>
                <w:highlight w:val="none"/>
                <w:lang w:val="en-US" w:eastAsia="zh-CN" w:bidi="ar-SA"/>
              </w:rPr>
              <w:t>3.</w:t>
            </w:r>
            <w:r>
              <w:rPr>
                <w:rFonts w:hint="eastAsia" w:ascii="宋体" w:hAnsi="宋体" w:cs="宋体"/>
                <w:b w:val="0"/>
                <w:bCs/>
                <w:i w:val="0"/>
                <w:iCs w:val="0"/>
                <w:caps w:val="0"/>
                <w:color w:val="auto"/>
                <w:spacing w:val="0"/>
                <w:sz w:val="21"/>
                <w:szCs w:val="21"/>
                <w:highlight w:val="none"/>
                <w:shd w:val="clear"/>
                <w:lang w:val="en-US" w:eastAsia="zh-CN"/>
              </w:rPr>
              <w:t>施工结束或者获得</w:t>
            </w:r>
            <w:r>
              <w:rPr>
                <w:rFonts w:hint="eastAsia" w:ascii="宋体" w:hAnsi="宋体" w:eastAsia="宋体" w:cs="宋体"/>
                <w:b w:val="0"/>
                <w:bCs/>
                <w:i w:val="0"/>
                <w:iCs w:val="0"/>
                <w:caps w:val="0"/>
                <w:color w:val="auto"/>
                <w:spacing w:val="0"/>
                <w:sz w:val="21"/>
                <w:szCs w:val="21"/>
                <w:highlight w:val="none"/>
                <w:shd w:val="clear"/>
              </w:rPr>
              <w:t>获得政府规划主管部门正式批复</w:t>
            </w:r>
            <w:r>
              <w:rPr>
                <w:rFonts w:hint="eastAsia" w:ascii="宋体" w:hAnsi="宋体" w:cs="宋体"/>
                <w:b w:val="0"/>
                <w:bCs/>
                <w:i w:val="0"/>
                <w:iCs w:val="0"/>
                <w:caps w:val="0"/>
                <w:color w:val="auto"/>
                <w:spacing w:val="0"/>
                <w:sz w:val="21"/>
                <w:szCs w:val="21"/>
                <w:highlight w:val="none"/>
                <w:shd w:val="clear"/>
                <w:lang w:val="en-US" w:eastAsia="zh-CN"/>
              </w:rPr>
              <w:t>后48个月支付合同款项的40%。</w:t>
            </w:r>
          </w:p>
        </w:tc>
      </w:tr>
      <w:tr w14:paraId="2EBE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7D703FF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125EEFE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未标识‘▲’及未表述为“须”或“必须”的采购项目技术规格、参数及要求。</w:t>
            </w:r>
          </w:p>
        </w:tc>
      </w:tr>
    </w:tbl>
    <w:p w14:paraId="31CB56DD">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color w:val="auto"/>
          <w:sz w:val="21"/>
          <w:szCs w:val="21"/>
          <w:highlight w:val="none"/>
        </w:rPr>
      </w:pPr>
    </w:p>
    <w:p w14:paraId="1C4E80D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color w:val="auto"/>
          <w:sz w:val="21"/>
          <w:szCs w:val="21"/>
          <w:highlight w:val="none"/>
        </w:rPr>
      </w:pPr>
      <w:r>
        <w:rPr>
          <w:rFonts w:ascii="宋体" w:hAnsi="宋体"/>
          <w:b/>
          <w:color w:val="auto"/>
          <w:sz w:val="21"/>
          <w:szCs w:val="21"/>
          <w:highlight w:val="none"/>
        </w:rPr>
        <w:br w:type="page"/>
      </w:r>
    </w:p>
    <w:p w14:paraId="52853A9A">
      <w:pPr>
        <w:spacing w:line="400" w:lineRule="exact"/>
        <w:jc w:val="center"/>
        <w:rPr>
          <w:rFonts w:hint="eastAsia" w:ascii="宋体" w:hAnsi="宋体"/>
          <w:b/>
          <w:color w:val="auto"/>
          <w:sz w:val="32"/>
          <w:szCs w:val="32"/>
          <w:highlight w:val="none"/>
        </w:rPr>
      </w:pPr>
    </w:p>
    <w:p w14:paraId="5556B8C0">
      <w:pPr>
        <w:spacing w:line="400" w:lineRule="exact"/>
        <w:jc w:val="center"/>
        <w:rPr>
          <w:rFonts w:hint="eastAsia" w:ascii="宋体" w:hAnsi="宋体"/>
          <w:b/>
          <w:color w:val="auto"/>
          <w:sz w:val="32"/>
          <w:szCs w:val="32"/>
          <w:highlight w:val="none"/>
        </w:rPr>
      </w:pPr>
    </w:p>
    <w:p w14:paraId="320598F0">
      <w:pPr>
        <w:spacing w:line="400" w:lineRule="exact"/>
        <w:jc w:val="center"/>
        <w:rPr>
          <w:rFonts w:hint="eastAsia" w:ascii="宋体" w:hAnsi="宋体"/>
          <w:b/>
          <w:color w:val="auto"/>
          <w:sz w:val="32"/>
          <w:szCs w:val="32"/>
          <w:highlight w:val="none"/>
        </w:rPr>
      </w:pPr>
    </w:p>
    <w:p w14:paraId="286FF393">
      <w:pPr>
        <w:spacing w:line="400" w:lineRule="exact"/>
        <w:jc w:val="center"/>
        <w:rPr>
          <w:rFonts w:hint="eastAsia" w:ascii="宋体" w:hAnsi="宋体"/>
          <w:b/>
          <w:color w:val="auto"/>
          <w:sz w:val="32"/>
          <w:szCs w:val="32"/>
          <w:highlight w:val="none"/>
        </w:rPr>
      </w:pPr>
    </w:p>
    <w:p w14:paraId="5FFB1775">
      <w:pPr>
        <w:spacing w:line="400" w:lineRule="exact"/>
        <w:jc w:val="center"/>
        <w:rPr>
          <w:rFonts w:hint="eastAsia" w:ascii="宋体" w:hAnsi="宋体"/>
          <w:b/>
          <w:color w:val="auto"/>
          <w:sz w:val="32"/>
          <w:szCs w:val="32"/>
          <w:highlight w:val="none"/>
        </w:rPr>
      </w:pPr>
    </w:p>
    <w:p w14:paraId="00285FA6">
      <w:pPr>
        <w:spacing w:line="400" w:lineRule="exact"/>
        <w:jc w:val="center"/>
        <w:rPr>
          <w:rFonts w:hint="eastAsia" w:ascii="宋体" w:hAnsi="宋体"/>
          <w:b/>
          <w:color w:val="auto"/>
          <w:sz w:val="32"/>
          <w:szCs w:val="32"/>
          <w:highlight w:val="none"/>
        </w:rPr>
      </w:pPr>
    </w:p>
    <w:p w14:paraId="144FEFBA">
      <w:pPr>
        <w:spacing w:line="400" w:lineRule="exact"/>
        <w:jc w:val="center"/>
        <w:rPr>
          <w:rFonts w:hint="eastAsia" w:ascii="宋体" w:hAnsi="宋体"/>
          <w:b/>
          <w:color w:val="auto"/>
          <w:sz w:val="32"/>
          <w:szCs w:val="32"/>
          <w:highlight w:val="none"/>
        </w:rPr>
      </w:pPr>
    </w:p>
    <w:p w14:paraId="7A705A54">
      <w:pPr>
        <w:spacing w:line="400" w:lineRule="exact"/>
        <w:jc w:val="center"/>
        <w:rPr>
          <w:rFonts w:hint="eastAsia" w:ascii="宋体" w:hAnsi="宋体"/>
          <w:b/>
          <w:color w:val="auto"/>
          <w:sz w:val="32"/>
          <w:szCs w:val="32"/>
          <w:highlight w:val="none"/>
        </w:rPr>
      </w:pPr>
    </w:p>
    <w:p w14:paraId="518FBFC9">
      <w:pPr>
        <w:spacing w:line="400" w:lineRule="exact"/>
        <w:jc w:val="center"/>
        <w:rPr>
          <w:rFonts w:hint="eastAsia" w:ascii="宋体" w:hAnsi="宋体"/>
          <w:b/>
          <w:color w:val="auto"/>
          <w:sz w:val="32"/>
          <w:szCs w:val="32"/>
          <w:highlight w:val="none"/>
        </w:rPr>
      </w:pPr>
    </w:p>
    <w:p w14:paraId="3A09CC8A">
      <w:pPr>
        <w:spacing w:line="400" w:lineRule="exact"/>
        <w:jc w:val="center"/>
        <w:rPr>
          <w:rFonts w:hint="eastAsia" w:ascii="宋体" w:hAnsi="宋体"/>
          <w:b/>
          <w:color w:val="auto"/>
          <w:sz w:val="32"/>
          <w:szCs w:val="32"/>
          <w:highlight w:val="none"/>
        </w:rPr>
      </w:pPr>
    </w:p>
    <w:p w14:paraId="2318F5ED">
      <w:pPr>
        <w:spacing w:line="400" w:lineRule="exact"/>
        <w:jc w:val="center"/>
        <w:rPr>
          <w:rFonts w:hint="eastAsia" w:ascii="宋体" w:hAnsi="宋体"/>
          <w:b/>
          <w:color w:val="auto"/>
          <w:sz w:val="32"/>
          <w:szCs w:val="32"/>
          <w:highlight w:val="none"/>
        </w:rPr>
      </w:pPr>
    </w:p>
    <w:p w14:paraId="0F11759E">
      <w:pPr>
        <w:spacing w:line="400" w:lineRule="exact"/>
        <w:jc w:val="center"/>
        <w:rPr>
          <w:rFonts w:hint="eastAsia" w:ascii="宋体" w:hAnsi="宋体"/>
          <w:b/>
          <w:color w:val="auto"/>
          <w:sz w:val="32"/>
          <w:szCs w:val="32"/>
          <w:highlight w:val="none"/>
        </w:rPr>
      </w:pPr>
    </w:p>
    <w:p w14:paraId="527529F0">
      <w:pPr>
        <w:spacing w:line="400" w:lineRule="exact"/>
        <w:jc w:val="center"/>
        <w:rPr>
          <w:rFonts w:hint="eastAsia" w:ascii="宋体" w:hAnsi="宋体"/>
          <w:b/>
          <w:color w:val="auto"/>
          <w:sz w:val="32"/>
          <w:szCs w:val="32"/>
          <w:highlight w:val="none"/>
        </w:rPr>
      </w:pPr>
    </w:p>
    <w:p w14:paraId="7BB1B939">
      <w:pPr>
        <w:pStyle w:val="17"/>
        <w:rPr>
          <w:rFonts w:hint="eastAsia"/>
          <w:color w:val="auto"/>
          <w:sz w:val="44"/>
          <w:szCs w:val="44"/>
          <w:highlight w:val="none"/>
        </w:rPr>
      </w:pPr>
      <w:bookmarkStart w:id="53" w:name="_Toc476258759"/>
      <w:bookmarkStart w:id="54" w:name="_Toc476258665"/>
      <w:r>
        <w:rPr>
          <w:rFonts w:hint="eastAsia"/>
          <w:color w:val="auto"/>
          <w:sz w:val="44"/>
          <w:szCs w:val="44"/>
          <w:highlight w:val="none"/>
        </w:rPr>
        <w:t>第四章  竞争性磋商响应文件格式</w:t>
      </w:r>
      <w:bookmarkEnd w:id="53"/>
      <w:bookmarkEnd w:id="54"/>
    </w:p>
    <w:p w14:paraId="4BE36736">
      <w:pPr>
        <w:spacing w:line="500" w:lineRule="exact"/>
        <w:jc w:val="center"/>
        <w:rPr>
          <w:rFonts w:hint="eastAsia" w:ascii="仿宋_GB2312" w:hAnsi="宋体" w:eastAsia="仿宋_GB2312"/>
          <w:b/>
          <w:color w:val="auto"/>
          <w:sz w:val="32"/>
          <w:szCs w:val="32"/>
          <w:highlight w:val="none"/>
        </w:rPr>
      </w:pPr>
    </w:p>
    <w:p w14:paraId="032A6615">
      <w:pP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color w:val="auto"/>
          <w:sz w:val="30"/>
          <w:szCs w:val="30"/>
          <w:highlight w:val="none"/>
        </w:rPr>
        <w:t>封面</w:t>
      </w:r>
      <w:r>
        <w:rPr>
          <w:rFonts w:hint="eastAsia" w:ascii="宋体" w:hAnsi="宋体"/>
          <w:b/>
          <w:bCs/>
          <w:color w:val="auto"/>
          <w:sz w:val="30"/>
          <w:szCs w:val="30"/>
          <w:highlight w:val="none"/>
        </w:rPr>
        <w:t>格式</w:t>
      </w:r>
    </w:p>
    <w:p w14:paraId="2E2E834E">
      <w:pPr>
        <w:spacing w:line="240" w:lineRule="atLeast"/>
        <w:rPr>
          <w:rFonts w:hint="eastAsia" w:ascii="仿宋_GB2312" w:hAnsi="宋体" w:eastAsia="仿宋_GB2312"/>
          <w:b/>
          <w:color w:val="auto"/>
          <w:sz w:val="32"/>
          <w:szCs w:val="32"/>
          <w:highlight w:val="none"/>
          <w:u w:val="single"/>
        </w:rPr>
      </w:pPr>
    </w:p>
    <w:p w14:paraId="2476D7A4">
      <w:pPr>
        <w:spacing w:line="240" w:lineRule="atLeast"/>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u w:val="single"/>
        </w:rPr>
        <w:t xml:space="preserve">   </w:t>
      </w:r>
      <w:r>
        <w:rPr>
          <w:rFonts w:hint="eastAsia" w:ascii="仿宋_GB2312" w:hAnsi="宋体" w:eastAsia="仿宋_GB2312"/>
          <w:b/>
          <w:color w:val="auto"/>
          <w:sz w:val="32"/>
          <w:szCs w:val="32"/>
          <w:highlight w:val="none"/>
        </w:rPr>
        <w:t>本</w:t>
      </w:r>
    </w:p>
    <w:p w14:paraId="31F117A8">
      <w:pP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14268C8E">
      <w:pP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r>
        <w:rPr>
          <w:rFonts w:hint="eastAsia" w:ascii="仿宋_GB2312" w:hAnsi="宋体" w:eastAsia="仿宋_GB2312"/>
          <w:color w:val="auto"/>
          <w:sz w:val="28"/>
          <w:szCs w:val="28"/>
          <w:highlight w:val="none"/>
        </w:rPr>
        <w:t>（封面）</w:t>
      </w:r>
    </w:p>
    <w:p w14:paraId="47ED3257">
      <w:pPr>
        <w:spacing w:line="500" w:lineRule="exact"/>
        <w:ind w:firstLine="420" w:firstLineChars="200"/>
        <w:rPr>
          <w:rFonts w:hint="eastAsia" w:ascii="宋体" w:hAnsi="宋体"/>
          <w:color w:val="auto"/>
          <w:szCs w:val="21"/>
          <w:highlight w:val="none"/>
        </w:rPr>
      </w:pPr>
    </w:p>
    <w:p w14:paraId="080363DD">
      <w:pPr>
        <w:spacing w:line="500" w:lineRule="exact"/>
        <w:ind w:firstLine="420" w:firstLineChars="200"/>
        <w:rPr>
          <w:rFonts w:hint="eastAsia" w:ascii="宋体" w:hAnsi="宋体"/>
          <w:color w:val="auto"/>
          <w:szCs w:val="21"/>
          <w:highlight w:val="none"/>
        </w:rPr>
      </w:pPr>
    </w:p>
    <w:p w14:paraId="301C488F">
      <w:pPr>
        <w:spacing w:line="500" w:lineRule="exact"/>
        <w:ind w:firstLine="420" w:firstLineChars="200"/>
        <w:rPr>
          <w:rFonts w:hint="eastAsia" w:ascii="宋体" w:hAnsi="宋体"/>
          <w:color w:val="auto"/>
          <w:szCs w:val="21"/>
          <w:highlight w:val="none"/>
        </w:rPr>
      </w:pPr>
    </w:p>
    <w:p w14:paraId="002771D4">
      <w:pP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7408DF71">
      <w:pP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736C9409">
      <w:pP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7B6B74AC">
      <w:pP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11585384">
      <w:pP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16EC8946">
      <w:pP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5C97BE1A">
      <w:pPr>
        <w:spacing w:line="520" w:lineRule="exact"/>
        <w:rPr>
          <w:rFonts w:hint="eastAsia" w:ascii="宋体" w:hAnsi="宋体"/>
          <w:color w:val="auto"/>
          <w:szCs w:val="21"/>
          <w:highlight w:val="none"/>
        </w:rPr>
      </w:pPr>
    </w:p>
    <w:p w14:paraId="2D9E64C1">
      <w:pPr>
        <w:spacing w:line="520" w:lineRule="exact"/>
        <w:ind w:firstLine="3767" w:firstLineChars="1340"/>
        <w:rPr>
          <w:rFonts w:hint="eastAsia" w:ascii="宋体" w:hAnsi="宋体"/>
          <w:b/>
          <w:color w:val="auto"/>
          <w:sz w:val="28"/>
          <w:szCs w:val="28"/>
          <w:highlight w:val="none"/>
        </w:rPr>
      </w:pPr>
    </w:p>
    <w:p w14:paraId="38CB8CF8">
      <w:pPr>
        <w:spacing w:line="520" w:lineRule="exact"/>
        <w:ind w:firstLine="3767" w:firstLineChars="1340"/>
        <w:rPr>
          <w:rFonts w:hint="eastAsia" w:ascii="宋体" w:hAnsi="宋体"/>
          <w:b/>
          <w:color w:val="auto"/>
          <w:sz w:val="28"/>
          <w:szCs w:val="28"/>
          <w:highlight w:val="none"/>
        </w:rPr>
      </w:pPr>
    </w:p>
    <w:p w14:paraId="5CA93EF1">
      <w:pPr>
        <w:spacing w:line="520" w:lineRule="exact"/>
        <w:ind w:firstLine="3767" w:firstLineChars="1340"/>
        <w:rPr>
          <w:rFonts w:hint="eastAsia" w:ascii="宋体" w:hAnsi="宋体"/>
          <w:b/>
          <w:color w:val="auto"/>
          <w:sz w:val="28"/>
          <w:szCs w:val="28"/>
          <w:highlight w:val="none"/>
        </w:rPr>
      </w:pPr>
    </w:p>
    <w:p w14:paraId="40221ADA">
      <w:pPr>
        <w:spacing w:line="520" w:lineRule="exact"/>
        <w:ind w:firstLine="3767" w:firstLineChars="1340"/>
        <w:rPr>
          <w:rFonts w:hint="eastAsia" w:ascii="宋体" w:hAnsi="宋体"/>
          <w:b/>
          <w:color w:val="auto"/>
          <w:sz w:val="28"/>
          <w:szCs w:val="28"/>
          <w:highlight w:val="none"/>
        </w:rPr>
      </w:pPr>
    </w:p>
    <w:p w14:paraId="6D5D5864">
      <w:pP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542ADFCE">
      <w:pP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44DCE3BD">
      <w:pP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344C8DC0">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3CD2BE62">
      <w:pP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34"/>
        <w:gridCol w:w="3445"/>
        <w:gridCol w:w="851"/>
      </w:tblGrid>
      <w:tr w14:paraId="1A4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079F04D2">
            <w:pPr>
              <w:pStyle w:val="11"/>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4834" w:type="dxa"/>
            <w:tcBorders>
              <w:bottom w:val="single" w:color="auto" w:sz="4" w:space="0"/>
            </w:tcBorders>
            <w:noWrap w:val="0"/>
            <w:vAlign w:val="center"/>
          </w:tcPr>
          <w:p w14:paraId="70B1D4B2">
            <w:pPr>
              <w:tabs>
                <w:tab w:val="left" w:pos="180"/>
                <w:tab w:val="left" w:pos="1620"/>
              </w:tabs>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服务</w:t>
            </w:r>
            <w:r>
              <w:rPr>
                <w:rFonts w:hint="eastAsia" w:ascii="宋体" w:hAnsi="宋体"/>
                <w:color w:val="auto"/>
                <w:szCs w:val="21"/>
                <w:highlight w:val="none"/>
                <w:lang w:eastAsia="zh-CN"/>
              </w:rPr>
              <w:t>内容</w:t>
            </w:r>
          </w:p>
        </w:tc>
        <w:tc>
          <w:tcPr>
            <w:tcW w:w="3445" w:type="dxa"/>
            <w:tcBorders>
              <w:bottom w:val="single" w:color="auto" w:sz="4" w:space="0"/>
            </w:tcBorders>
            <w:noWrap w:val="0"/>
            <w:vAlign w:val="center"/>
          </w:tcPr>
          <w:p w14:paraId="378B4999">
            <w:pPr>
              <w:tabs>
                <w:tab w:val="left" w:pos="180"/>
                <w:tab w:val="left" w:pos="1620"/>
              </w:tabs>
              <w:spacing w:line="40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报价（元）</w:t>
            </w:r>
          </w:p>
        </w:tc>
        <w:tc>
          <w:tcPr>
            <w:tcW w:w="851" w:type="dxa"/>
            <w:tcBorders>
              <w:bottom w:val="single" w:color="auto" w:sz="4" w:space="0"/>
            </w:tcBorders>
            <w:noWrap w:val="0"/>
            <w:vAlign w:val="center"/>
          </w:tcPr>
          <w:p w14:paraId="1112C945">
            <w:pPr>
              <w:pStyle w:val="11"/>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6FE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627" w:type="dxa"/>
            <w:noWrap w:val="0"/>
            <w:vAlign w:val="center"/>
          </w:tcPr>
          <w:p w14:paraId="3B9703FF">
            <w:pPr>
              <w:jc w:val="center"/>
              <w:rPr>
                <w:rFonts w:hint="eastAsia" w:ascii="宋体" w:hAnsi="宋体"/>
                <w:color w:val="auto"/>
                <w:sz w:val="24"/>
                <w:highlight w:val="none"/>
              </w:rPr>
            </w:pPr>
            <w:r>
              <w:rPr>
                <w:rFonts w:hint="eastAsia" w:ascii="宋体" w:hAnsi="宋体"/>
                <w:color w:val="auto"/>
                <w:sz w:val="24"/>
                <w:highlight w:val="none"/>
              </w:rPr>
              <w:t>1</w:t>
            </w:r>
          </w:p>
        </w:tc>
        <w:tc>
          <w:tcPr>
            <w:tcW w:w="4834" w:type="dxa"/>
            <w:noWrap w:val="0"/>
            <w:vAlign w:val="center"/>
          </w:tcPr>
          <w:p w14:paraId="3AED0006">
            <w:pPr>
              <w:tabs>
                <w:tab w:val="left" w:pos="180"/>
                <w:tab w:val="left" w:pos="1620"/>
              </w:tabs>
              <w:spacing w:line="400" w:lineRule="exact"/>
              <w:jc w:val="center"/>
              <w:rPr>
                <w:rFonts w:hint="eastAsia" w:hAnsi="宋体" w:eastAsia="宋体"/>
                <w:color w:val="auto"/>
                <w:highlight w:val="none"/>
                <w:lang w:val="en-US" w:eastAsia="zh-CN"/>
              </w:rPr>
            </w:pPr>
            <w:r>
              <w:rPr>
                <w:rFonts w:hint="eastAsia" w:hAnsi="宋体" w:cs="宋体"/>
                <w:color w:val="auto"/>
                <w:szCs w:val="21"/>
                <w:highlight w:val="none"/>
                <w:lang w:eastAsia="zh-CN"/>
              </w:rPr>
              <w:t>广西财经学院明秀校区总平规划调整和修建性详细规划项目</w:t>
            </w:r>
          </w:p>
        </w:tc>
        <w:tc>
          <w:tcPr>
            <w:tcW w:w="3445" w:type="dxa"/>
            <w:noWrap w:val="0"/>
            <w:vAlign w:val="center"/>
          </w:tcPr>
          <w:p w14:paraId="25906B7D">
            <w:pPr>
              <w:pStyle w:val="11"/>
              <w:ind w:left="560" w:hanging="560"/>
              <w:rPr>
                <w:rFonts w:hint="eastAsia" w:hAnsi="宋体"/>
                <w:color w:val="auto"/>
                <w:highlight w:val="none"/>
              </w:rPr>
            </w:pPr>
          </w:p>
        </w:tc>
        <w:tc>
          <w:tcPr>
            <w:tcW w:w="851" w:type="dxa"/>
            <w:noWrap w:val="0"/>
            <w:vAlign w:val="center"/>
          </w:tcPr>
          <w:p w14:paraId="77F26C71">
            <w:pPr>
              <w:pStyle w:val="11"/>
              <w:ind w:left="536" w:hanging="536"/>
              <w:jc w:val="center"/>
              <w:rPr>
                <w:rFonts w:hint="eastAsia" w:hAnsi="宋体"/>
                <w:color w:val="auto"/>
                <w:spacing w:val="-6"/>
                <w:highlight w:val="none"/>
              </w:rPr>
            </w:pPr>
          </w:p>
        </w:tc>
      </w:tr>
      <w:tr w14:paraId="7CB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757" w:type="dxa"/>
            <w:gridSpan w:val="4"/>
            <w:noWrap w:val="0"/>
            <w:vAlign w:val="center"/>
          </w:tcPr>
          <w:p w14:paraId="06912182">
            <w:pPr>
              <w:pStyle w:val="11"/>
              <w:ind w:left="536" w:hanging="536"/>
              <w:rPr>
                <w:rFonts w:hint="default" w:hAnsi="宋体" w:eastAsia="宋体"/>
                <w:color w:val="auto"/>
                <w:spacing w:val="-6"/>
                <w:highlight w:val="none"/>
                <w:u w:val="none"/>
                <w:lang w:val="en-US" w:eastAsia="zh-CN"/>
              </w:rPr>
            </w:pPr>
            <w:r>
              <w:rPr>
                <w:rFonts w:hint="eastAsia" w:hAnsi="宋体"/>
                <w:color w:val="auto"/>
                <w:spacing w:val="-6"/>
                <w:highlight w:val="none"/>
                <w:lang w:val="en-US" w:eastAsia="zh-CN"/>
              </w:rPr>
              <w:t>竞标总价：人民币</w:t>
            </w:r>
            <w:r>
              <w:rPr>
                <w:rFonts w:hint="eastAsia" w:hAnsi="宋体"/>
                <w:color w:val="auto"/>
                <w:spacing w:val="-6"/>
                <w:highlight w:val="none"/>
                <w:u w:val="single"/>
                <w:lang w:val="en-US" w:eastAsia="zh-CN"/>
              </w:rPr>
              <w:t xml:space="preserve">                      </w:t>
            </w:r>
            <w:r>
              <w:rPr>
                <w:rFonts w:hint="eastAsia" w:hAnsi="宋体"/>
                <w:color w:val="auto"/>
                <w:spacing w:val="-6"/>
                <w:highlight w:val="none"/>
                <w:u w:val="none"/>
                <w:lang w:val="en-US" w:eastAsia="zh-CN"/>
              </w:rPr>
              <w:t>（¥</w:t>
            </w:r>
            <w:r>
              <w:rPr>
                <w:rFonts w:hint="eastAsia" w:hAnsi="宋体"/>
                <w:color w:val="auto"/>
                <w:spacing w:val="-6"/>
                <w:highlight w:val="none"/>
                <w:u w:val="single"/>
                <w:lang w:val="en-US" w:eastAsia="zh-CN"/>
              </w:rPr>
              <w:t xml:space="preserve">           </w:t>
            </w:r>
            <w:r>
              <w:rPr>
                <w:rFonts w:hint="eastAsia" w:hAnsi="宋体"/>
                <w:color w:val="auto"/>
                <w:spacing w:val="-6"/>
                <w:highlight w:val="none"/>
                <w:u w:val="none"/>
                <w:lang w:val="en-US" w:eastAsia="zh-CN"/>
              </w:rPr>
              <w:t>）</w:t>
            </w:r>
          </w:p>
        </w:tc>
      </w:tr>
      <w:tr w14:paraId="47C4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757" w:type="dxa"/>
            <w:gridSpan w:val="4"/>
            <w:noWrap w:val="0"/>
            <w:vAlign w:val="center"/>
          </w:tcPr>
          <w:p w14:paraId="556E3968">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color w:val="auto"/>
                <w:spacing w:val="-6"/>
                <w:highlight w:val="none"/>
                <w:lang w:eastAsia="zh-CN"/>
              </w:rPr>
            </w:pPr>
            <w:r>
              <w:rPr>
                <w:rFonts w:hint="eastAsia"/>
                <w:color w:val="auto"/>
                <w:szCs w:val="21"/>
                <w:highlight w:val="none"/>
                <w:lang w:val="en-US" w:eastAsia="zh-CN"/>
              </w:rPr>
              <w:t>服务期限</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lang w:eastAsia="zh-CN"/>
              </w:rPr>
              <w:t>。</w:t>
            </w:r>
          </w:p>
        </w:tc>
      </w:tr>
    </w:tbl>
    <w:p w14:paraId="4DE9F60B">
      <w:pPr>
        <w:spacing w:line="400" w:lineRule="exact"/>
        <w:rPr>
          <w:rFonts w:hint="eastAsia" w:ascii="宋体" w:hAnsi="宋体"/>
          <w:color w:val="auto"/>
          <w:szCs w:val="21"/>
          <w:highlight w:val="none"/>
        </w:rPr>
      </w:pPr>
    </w:p>
    <w:p w14:paraId="1DD89C94">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所有价格均用人民币表示，单位为元，精确到</w:t>
      </w:r>
      <w:r>
        <w:rPr>
          <w:rFonts w:hint="eastAsia" w:ascii="宋体" w:hAnsi="宋体"/>
          <w:color w:val="auto"/>
          <w:szCs w:val="21"/>
          <w:highlight w:val="none"/>
          <w:lang w:eastAsia="zh-CN"/>
        </w:rPr>
        <w:t>小数点后两位数</w:t>
      </w:r>
      <w:r>
        <w:rPr>
          <w:rFonts w:hint="eastAsia" w:ascii="宋体" w:hAnsi="宋体"/>
          <w:color w:val="auto"/>
          <w:szCs w:val="21"/>
          <w:highlight w:val="none"/>
        </w:rPr>
        <w:t>。</w:t>
      </w:r>
    </w:p>
    <w:p w14:paraId="39E28D5F">
      <w:pPr>
        <w:spacing w:line="400" w:lineRule="exact"/>
        <w:ind w:firstLine="411" w:firstLineChars="196"/>
        <w:rPr>
          <w:rFonts w:hint="eastAsia" w:ascii="宋体" w:hAnsi="宋体"/>
          <w:color w:val="auto"/>
          <w:szCs w:val="21"/>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报价</w:t>
      </w:r>
      <w:r>
        <w:rPr>
          <w:rFonts w:hint="eastAsia" w:hAnsi="宋体"/>
          <w:bCs/>
          <w:color w:val="auto"/>
          <w:highlight w:val="none"/>
          <w:lang w:val="en-US" w:eastAsia="zh-CN"/>
        </w:rPr>
        <w:t>包含</w:t>
      </w:r>
      <w:r>
        <w:rPr>
          <w:rFonts w:hint="eastAsia" w:hAnsi="宋体"/>
          <w:bCs/>
          <w:color w:val="auto"/>
          <w:highlight w:val="none"/>
        </w:rPr>
        <w:t>调研费、设计费、专家评审费、差旅费及税费等全部费用</w:t>
      </w:r>
      <w:r>
        <w:rPr>
          <w:rFonts w:hint="eastAsia" w:ascii="宋体" w:hAnsi="宋体"/>
          <w:color w:val="auto"/>
          <w:szCs w:val="21"/>
          <w:highlight w:val="none"/>
        </w:rPr>
        <w:t>。</w:t>
      </w:r>
    </w:p>
    <w:p w14:paraId="1F2038F5">
      <w:pPr>
        <w:pStyle w:val="11"/>
        <w:spacing w:line="500" w:lineRule="exact"/>
        <w:ind w:firstLine="420" w:firstLineChars="200"/>
        <w:rPr>
          <w:rFonts w:hint="eastAsia" w:hAnsi="宋体"/>
          <w:color w:val="auto"/>
          <w:highlight w:val="none"/>
        </w:rPr>
      </w:pPr>
    </w:p>
    <w:p w14:paraId="71CAB6B8">
      <w:pPr>
        <w:pStyle w:val="11"/>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EDD622A">
      <w:pPr>
        <w:pStyle w:val="11"/>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A2308AE">
      <w:pP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A388087">
      <w:pP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5DEBB3F8">
      <w:pP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5B591BB2">
      <w:pPr>
        <w:spacing w:line="520" w:lineRule="exact"/>
        <w:jc w:val="center"/>
        <w:rPr>
          <w:rFonts w:hint="eastAsia" w:ascii="宋体" w:hAnsi="宋体"/>
          <w:b/>
          <w:color w:val="auto"/>
          <w:szCs w:val="21"/>
          <w:highlight w:val="none"/>
        </w:rPr>
      </w:pPr>
    </w:p>
    <w:p w14:paraId="7A74107A">
      <w:pPr>
        <w:pStyle w:val="11"/>
        <w:spacing w:line="520" w:lineRule="exact"/>
        <w:rPr>
          <w:rFonts w:hint="eastAsia" w:hAnsi="宋体"/>
          <w:color w:val="auto"/>
          <w:highlight w:val="none"/>
        </w:rPr>
      </w:pPr>
      <w:r>
        <w:rPr>
          <w:rFonts w:hint="eastAsia" w:ascii="宋体" w:eastAsia="宋体"/>
          <w:color w:val="auto"/>
          <w:highlight w:val="none"/>
          <w:lang w:eastAsia="zh-CN"/>
        </w:rPr>
        <w:t>广西国力招标有限公司</w:t>
      </w:r>
      <w:r>
        <w:rPr>
          <w:rFonts w:hint="eastAsia" w:hAnsi="宋体"/>
          <w:color w:val="auto"/>
          <w:highlight w:val="none"/>
        </w:rPr>
        <w:t>：</w:t>
      </w:r>
    </w:p>
    <w:p w14:paraId="2DD141FF">
      <w:pPr>
        <w:pStyle w:val="11"/>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（价格文件、商务技术文件），其中</w:t>
      </w:r>
      <w:r>
        <w:rPr>
          <w:rFonts w:hint="eastAsia" w:hAnsi="宋体"/>
          <w:color w:val="auto"/>
          <w:highlight w:val="none"/>
        </w:rPr>
        <w:t>正本</w:t>
      </w:r>
      <w:r>
        <w:rPr>
          <w:rFonts w:hint="eastAsia" w:hAnsi="宋体"/>
          <w:color w:val="auto"/>
          <w:highlight w:val="none"/>
          <w:u w:val="single"/>
          <w:lang w:val="en-US" w:eastAsia="zh-CN"/>
        </w:rPr>
        <w:t xml:space="preserve"> </w:t>
      </w:r>
      <w:r>
        <w:rPr>
          <w:rFonts w:hint="eastAsia" w:hAnsi="宋体"/>
          <w:color w:val="auto"/>
          <w:highlight w:val="none"/>
          <w:u w:val="single"/>
        </w:rPr>
        <w:t>一</w:t>
      </w:r>
      <w:r>
        <w:rPr>
          <w:rFonts w:hint="eastAsia" w:hAnsi="宋体"/>
          <w:color w:val="auto"/>
          <w:highlight w:val="none"/>
          <w:u w:val="single"/>
          <w:lang w:val="en-US" w:eastAsia="zh-CN"/>
        </w:rPr>
        <w:t xml:space="preserve"> </w:t>
      </w:r>
      <w:r>
        <w:rPr>
          <w:rFonts w:hint="eastAsia" w:hAnsi="宋体"/>
          <w:color w:val="auto"/>
          <w:highlight w:val="none"/>
        </w:rPr>
        <w:t>份、副本</w:t>
      </w:r>
      <w:r>
        <w:rPr>
          <w:rFonts w:hint="eastAsia" w:hAnsi="宋体"/>
          <w:color w:val="auto"/>
          <w:highlight w:val="none"/>
          <w:u w:val="single"/>
          <w:lang w:val="en-US" w:eastAsia="zh-CN"/>
        </w:rPr>
        <w:t xml:space="preserve">    </w:t>
      </w:r>
      <w:r>
        <w:rPr>
          <w:rFonts w:hint="eastAsia" w:hAnsi="宋体"/>
          <w:color w:val="auto"/>
          <w:highlight w:val="none"/>
        </w:rPr>
        <w:t>份。供应商在递交响应文件时，同时递交响应文件电子版（将响应文件电子版光盘或U盘与纸质版响应文件一并装入响应文件袋中。）</w:t>
      </w:r>
    </w:p>
    <w:p w14:paraId="6C7F6F4F">
      <w:pPr>
        <w:pStyle w:val="11"/>
        <w:spacing w:line="520" w:lineRule="exact"/>
        <w:ind w:firstLine="480"/>
        <w:rPr>
          <w:rFonts w:hint="eastAsia" w:hAnsi="宋体"/>
          <w:color w:val="auto"/>
          <w:highlight w:val="none"/>
        </w:rPr>
      </w:pPr>
      <w:r>
        <w:rPr>
          <w:rFonts w:hint="eastAsia" w:hAnsi="宋体"/>
          <w:color w:val="auto"/>
          <w:highlight w:val="none"/>
        </w:rPr>
        <w:t>1. 报价表；</w:t>
      </w:r>
    </w:p>
    <w:p w14:paraId="6837594B">
      <w:pPr>
        <w:pStyle w:val="11"/>
        <w:spacing w:line="520" w:lineRule="exact"/>
        <w:ind w:firstLine="480"/>
        <w:rPr>
          <w:rFonts w:hint="eastAsia" w:hAnsi="宋体"/>
          <w:color w:val="auto"/>
          <w:highlight w:val="none"/>
        </w:rPr>
      </w:pPr>
      <w:r>
        <w:rPr>
          <w:rFonts w:hint="eastAsia" w:hAnsi="宋体"/>
          <w:color w:val="auto"/>
          <w:highlight w:val="none"/>
        </w:rPr>
        <w:t>2. 商务、服务响应、偏离情况说明表；</w:t>
      </w:r>
    </w:p>
    <w:p w14:paraId="4D50AC61">
      <w:pPr>
        <w:pStyle w:val="11"/>
        <w:spacing w:line="520" w:lineRule="exact"/>
        <w:ind w:firstLine="480"/>
        <w:rPr>
          <w:rFonts w:hint="eastAsia" w:hAnsi="宋体"/>
          <w:color w:val="auto"/>
          <w:highlight w:val="none"/>
        </w:rPr>
      </w:pPr>
      <w:r>
        <w:rPr>
          <w:rFonts w:hint="eastAsia" w:hAnsi="宋体"/>
          <w:color w:val="auto"/>
          <w:highlight w:val="none"/>
        </w:rPr>
        <w:t>3. 资格证明文件；</w:t>
      </w:r>
    </w:p>
    <w:p w14:paraId="4D6A496D">
      <w:pPr>
        <w:pStyle w:val="11"/>
        <w:spacing w:line="520" w:lineRule="exact"/>
        <w:ind w:firstLine="480"/>
        <w:rPr>
          <w:rFonts w:hint="eastAsia" w:hAnsi="宋体"/>
          <w:color w:val="auto"/>
          <w:highlight w:val="none"/>
        </w:rPr>
      </w:pPr>
      <w:r>
        <w:rPr>
          <w:rFonts w:hint="eastAsia" w:hAnsi="宋体"/>
          <w:color w:val="auto"/>
          <w:highlight w:val="none"/>
        </w:rPr>
        <w:t>4. 按竞争性磋商文件磋商供应商须知和采购需求提供的有关文件；</w:t>
      </w:r>
    </w:p>
    <w:p w14:paraId="76C7FB78">
      <w:pPr>
        <w:pStyle w:val="11"/>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5D3E93F0">
      <w:pPr>
        <w:pStyle w:val="11"/>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060626F7">
      <w:pPr>
        <w:pStyle w:val="11"/>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747D6A49">
      <w:pPr>
        <w:pStyle w:val="11"/>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00007A3B">
      <w:pPr>
        <w:pStyle w:val="11"/>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2ABDCA50">
      <w:pPr>
        <w:pStyle w:val="11"/>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190644F4">
      <w:pPr>
        <w:pStyle w:val="11"/>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50B0C60E">
      <w:pPr>
        <w:pStyle w:val="11"/>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F7C788F">
      <w:pPr>
        <w:pStyle w:val="11"/>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w:t>
      </w:r>
      <w:r>
        <w:rPr>
          <w:rFonts w:hint="eastAsia" w:hAnsi="宋体"/>
          <w:color w:val="auto"/>
          <w:highlight w:val="none"/>
          <w:u w:val="single"/>
        </w:rPr>
        <w:t xml:space="preserve">                       </w:t>
      </w:r>
    </w:p>
    <w:p w14:paraId="47F3FA91">
      <w:pPr>
        <w:pStyle w:val="11"/>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25E21CB9">
      <w:pPr>
        <w:pStyle w:val="11"/>
        <w:spacing w:line="520" w:lineRule="exact"/>
        <w:ind w:firstLine="840"/>
        <w:rPr>
          <w:rFonts w:hint="eastAsia" w:hAnsi="宋体"/>
          <w:color w:val="auto"/>
          <w:highlight w:val="none"/>
        </w:rPr>
      </w:pPr>
      <w:r>
        <w:rPr>
          <w:rFonts w:hint="eastAsia" w:hAnsi="宋体"/>
          <w:color w:val="auto"/>
          <w:highlight w:val="none"/>
        </w:rPr>
        <w:t xml:space="preserve">                     </w:t>
      </w:r>
    </w:p>
    <w:p w14:paraId="668851B1">
      <w:pPr>
        <w:adjustRightInd w:val="0"/>
        <w:snapToGrid w:val="0"/>
        <w:spacing w:line="300" w:lineRule="auto"/>
        <w:ind w:left="-88" w:leftChars="-42"/>
        <w:rPr>
          <w:rFonts w:hint="eastAsia" w:ascii="宋体" w:hAnsi="宋体"/>
          <w:color w:val="auto"/>
          <w:szCs w:val="21"/>
          <w:highlight w:val="none"/>
        </w:rPr>
      </w:pPr>
    </w:p>
    <w:p w14:paraId="79580422">
      <w:pPr>
        <w:adjustRightInd w:val="0"/>
        <w:snapToGrid w:val="0"/>
        <w:spacing w:line="300" w:lineRule="auto"/>
        <w:ind w:left="-88" w:leftChars="-42"/>
        <w:rPr>
          <w:rFonts w:hint="eastAsia" w:ascii="宋体" w:hAnsi="宋体"/>
          <w:color w:val="auto"/>
          <w:szCs w:val="21"/>
          <w:highlight w:val="none"/>
        </w:rPr>
      </w:pPr>
    </w:p>
    <w:p w14:paraId="34A9A4CC">
      <w:pPr>
        <w:adjustRightInd w:val="0"/>
        <w:snapToGrid w:val="0"/>
        <w:spacing w:line="300" w:lineRule="auto"/>
        <w:ind w:left="-88" w:leftChars="-42"/>
        <w:rPr>
          <w:rFonts w:hint="eastAsia" w:ascii="宋体" w:hAnsi="宋体"/>
          <w:color w:val="auto"/>
          <w:szCs w:val="21"/>
          <w:highlight w:val="none"/>
        </w:rPr>
      </w:pPr>
    </w:p>
    <w:p w14:paraId="50E96D64">
      <w:pPr>
        <w:adjustRightInd w:val="0"/>
        <w:snapToGrid w:val="0"/>
        <w:spacing w:line="300" w:lineRule="auto"/>
        <w:ind w:left="-88" w:leftChars="-42"/>
        <w:rPr>
          <w:rFonts w:hint="eastAsia" w:ascii="宋体" w:hAnsi="宋体"/>
          <w:color w:val="auto"/>
          <w:szCs w:val="21"/>
          <w:highlight w:val="none"/>
        </w:rPr>
      </w:pPr>
    </w:p>
    <w:p w14:paraId="5B891739">
      <w:pPr>
        <w:adjustRightInd w:val="0"/>
        <w:snapToGrid w:val="0"/>
        <w:spacing w:line="300" w:lineRule="auto"/>
        <w:ind w:left="-88" w:leftChars="-42"/>
        <w:rPr>
          <w:rFonts w:hint="eastAsia" w:ascii="宋体" w:hAnsi="宋体"/>
          <w:color w:val="auto"/>
          <w:szCs w:val="21"/>
          <w:highlight w:val="none"/>
        </w:rPr>
      </w:pPr>
    </w:p>
    <w:p w14:paraId="33F66C51">
      <w:pPr>
        <w:adjustRightInd w:val="0"/>
        <w:snapToGrid w:val="0"/>
        <w:spacing w:line="300" w:lineRule="auto"/>
        <w:ind w:left="-88" w:leftChars="-42"/>
        <w:rPr>
          <w:rFonts w:hint="eastAsia" w:ascii="宋体" w:hAnsi="宋体"/>
          <w:color w:val="auto"/>
          <w:szCs w:val="21"/>
          <w:highlight w:val="none"/>
        </w:rPr>
      </w:pPr>
    </w:p>
    <w:p w14:paraId="4EAC357B">
      <w:pP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26425FDF">
      <w:pPr>
        <w:spacing w:line="320" w:lineRule="exact"/>
        <w:jc w:val="center"/>
        <w:rPr>
          <w:rFonts w:hint="eastAsia" w:ascii="宋体" w:hAnsi="宋体"/>
          <w:color w:val="auto"/>
          <w:sz w:val="24"/>
          <w:szCs w:val="20"/>
          <w:highlight w:val="none"/>
        </w:rPr>
      </w:pPr>
    </w:p>
    <w:p w14:paraId="289AD3BC">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广西国力招标有限公司</w:t>
      </w:r>
    </w:p>
    <w:p w14:paraId="4F5BB86B">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AD586C">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33798A5F">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3CE5F092">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65D9402E">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01BEA6CE">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17CBBCA4">
      <w:pP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3FBEDF0D">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0621D75F">
      <w:pPr>
        <w:pStyle w:val="9"/>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007B607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我方就对本次响应文件进行注明如下：（两项内容中必须选择一项）</w:t>
      </w:r>
    </w:p>
    <w:p w14:paraId="444988D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E24E4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D55EAD">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038840A7">
      <w:pPr>
        <w:pStyle w:val="10"/>
        <w:tabs>
          <w:tab w:val="left" w:pos="939"/>
        </w:tabs>
        <w:snapToGrid w:val="0"/>
        <w:spacing w:line="380" w:lineRule="exact"/>
        <w:ind w:left="849" w:leftChars="150" w:hanging="534" w:hangingChars="191"/>
        <w:rPr>
          <w:rFonts w:hint="eastAsia" w:ascii="宋体" w:hAnsi="宋体"/>
          <w:color w:val="auto"/>
          <w:szCs w:val="21"/>
          <w:highlight w:val="none"/>
        </w:rPr>
      </w:pPr>
    </w:p>
    <w:p w14:paraId="23DF210B">
      <w:pPr>
        <w:pStyle w:val="28"/>
        <w:snapToGrid w:val="0"/>
        <w:spacing w:before="156" w:beforeLines="50" w:line="380" w:lineRule="exact"/>
        <w:ind w:firstLine="200"/>
        <w:rPr>
          <w:rFonts w:hint="eastAsia" w:ascii="宋体" w:hAnsi="宋体"/>
          <w:color w:val="auto"/>
          <w:sz w:val="21"/>
          <w:szCs w:val="21"/>
          <w:highlight w:val="none"/>
        </w:rPr>
      </w:pPr>
    </w:p>
    <w:p w14:paraId="521BDED5">
      <w:pP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45D2E58C">
      <w:pP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318F6591">
      <w:pP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D4CF022">
      <w:pP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78C2B47D">
      <w:pP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17A92D2A">
      <w:pPr>
        <w:spacing w:line="300" w:lineRule="auto"/>
        <w:rPr>
          <w:rFonts w:hint="eastAsia" w:ascii="宋体" w:hAnsi="宋体"/>
          <w:color w:val="auto"/>
          <w:szCs w:val="21"/>
          <w:highlight w:val="none"/>
        </w:rPr>
      </w:pPr>
    </w:p>
    <w:p w14:paraId="2400609F">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194CF8AF">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98C1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A075132">
            <w:pPr>
              <w:jc w:val="center"/>
              <w:rPr>
                <w:rFonts w:hint="eastAsia" w:ascii="宋体" w:hAnsi="宋体" w:eastAsia="宋体" w:cs="宋体"/>
                <w:color w:val="auto"/>
                <w:sz w:val="21"/>
                <w:szCs w:val="21"/>
                <w:highlight w:val="none"/>
              </w:rPr>
            </w:pPr>
            <w:bookmarkStart w:id="55" w:name="_Toc173211900"/>
            <w:bookmarkStart w:id="56" w:name="_Toc254970729"/>
            <w:bookmarkStart w:id="57" w:name="_Toc173066401"/>
            <w:bookmarkStart w:id="58" w:name="_Toc254970588"/>
            <w:r>
              <w:rPr>
                <w:rFonts w:hint="eastAsia" w:ascii="宋体" w:hAnsi="宋体" w:eastAsia="宋体" w:cs="宋体"/>
                <w:color w:val="auto"/>
                <w:sz w:val="21"/>
                <w:szCs w:val="21"/>
                <w:highlight w:val="none"/>
              </w:rPr>
              <w:t>序号</w:t>
            </w:r>
            <w:bookmarkEnd w:id="55"/>
            <w:bookmarkEnd w:id="56"/>
            <w:bookmarkEnd w:id="57"/>
            <w:bookmarkEnd w:id="58"/>
          </w:p>
        </w:tc>
        <w:tc>
          <w:tcPr>
            <w:tcW w:w="3013" w:type="dxa"/>
            <w:noWrap w:val="0"/>
            <w:vAlign w:val="center"/>
          </w:tcPr>
          <w:p w14:paraId="34E525E5">
            <w:pPr>
              <w:jc w:val="center"/>
              <w:rPr>
                <w:rFonts w:hint="eastAsia" w:ascii="宋体" w:hAnsi="宋体" w:eastAsia="宋体" w:cs="宋体"/>
                <w:color w:val="auto"/>
                <w:sz w:val="21"/>
                <w:szCs w:val="21"/>
                <w:highlight w:val="none"/>
              </w:rPr>
            </w:pPr>
            <w:bookmarkStart w:id="59" w:name="_Toc173066402"/>
            <w:bookmarkStart w:id="60" w:name="_Toc254970730"/>
            <w:bookmarkStart w:id="61" w:name="_Toc254970589"/>
            <w:bookmarkStart w:id="62" w:name="_Toc173211901"/>
            <w:r>
              <w:rPr>
                <w:rFonts w:hint="eastAsia" w:ascii="宋体" w:hAnsi="宋体" w:eastAsia="宋体" w:cs="宋体"/>
                <w:color w:val="auto"/>
                <w:sz w:val="21"/>
                <w:szCs w:val="21"/>
                <w:highlight w:val="none"/>
              </w:rPr>
              <w:t>竞争性磋商文件要求</w:t>
            </w:r>
            <w:bookmarkEnd w:id="59"/>
            <w:bookmarkEnd w:id="60"/>
            <w:bookmarkEnd w:id="61"/>
            <w:bookmarkEnd w:id="62"/>
          </w:p>
        </w:tc>
        <w:tc>
          <w:tcPr>
            <w:tcW w:w="3159" w:type="dxa"/>
            <w:noWrap w:val="0"/>
            <w:vAlign w:val="center"/>
          </w:tcPr>
          <w:p w14:paraId="1D98BC9B">
            <w:pPr>
              <w:jc w:val="center"/>
              <w:rPr>
                <w:rFonts w:hint="eastAsia" w:ascii="宋体" w:hAnsi="宋体" w:eastAsia="宋体" w:cs="宋体"/>
                <w:color w:val="auto"/>
                <w:sz w:val="21"/>
                <w:szCs w:val="21"/>
                <w:highlight w:val="none"/>
              </w:rPr>
            </w:pPr>
            <w:bookmarkStart w:id="63" w:name="_Toc254970731"/>
            <w:bookmarkStart w:id="64" w:name="_Toc173211902"/>
            <w:bookmarkStart w:id="65" w:name="_Toc254970590"/>
            <w:bookmarkStart w:id="66" w:name="_Toc173066403"/>
            <w:r>
              <w:rPr>
                <w:rFonts w:hint="eastAsia" w:ascii="宋体" w:hAnsi="宋体" w:eastAsia="宋体" w:cs="宋体"/>
                <w:color w:val="auto"/>
                <w:sz w:val="21"/>
                <w:szCs w:val="21"/>
                <w:highlight w:val="none"/>
              </w:rPr>
              <w:t>竞争性磋商响应文件具体响应</w:t>
            </w:r>
            <w:bookmarkEnd w:id="63"/>
            <w:bookmarkEnd w:id="64"/>
            <w:bookmarkEnd w:id="65"/>
            <w:bookmarkEnd w:id="66"/>
          </w:p>
        </w:tc>
        <w:tc>
          <w:tcPr>
            <w:tcW w:w="1571" w:type="dxa"/>
            <w:noWrap w:val="0"/>
            <w:vAlign w:val="center"/>
          </w:tcPr>
          <w:p w14:paraId="5FCCA7FA">
            <w:pPr>
              <w:jc w:val="center"/>
              <w:rPr>
                <w:rFonts w:hint="eastAsia" w:ascii="宋体" w:hAnsi="宋体" w:eastAsia="宋体" w:cs="宋体"/>
                <w:color w:val="auto"/>
                <w:sz w:val="21"/>
                <w:szCs w:val="21"/>
                <w:highlight w:val="none"/>
              </w:rPr>
            </w:pPr>
            <w:bookmarkStart w:id="67" w:name="_Toc254970732"/>
            <w:bookmarkStart w:id="68" w:name="_Toc254970591"/>
            <w:bookmarkStart w:id="69" w:name="_Toc173211903"/>
            <w:bookmarkStart w:id="70" w:name="_Toc173066404"/>
            <w:r>
              <w:rPr>
                <w:rFonts w:hint="eastAsia" w:ascii="宋体" w:hAnsi="宋体" w:eastAsia="宋体" w:cs="宋体"/>
                <w:color w:val="auto"/>
                <w:sz w:val="21"/>
                <w:szCs w:val="21"/>
                <w:highlight w:val="none"/>
              </w:rPr>
              <w:t>响应/偏离</w:t>
            </w:r>
            <w:bookmarkEnd w:id="67"/>
            <w:bookmarkEnd w:id="68"/>
            <w:bookmarkEnd w:id="69"/>
            <w:bookmarkEnd w:id="70"/>
          </w:p>
        </w:tc>
        <w:tc>
          <w:tcPr>
            <w:tcW w:w="1460" w:type="dxa"/>
            <w:noWrap w:val="0"/>
            <w:vAlign w:val="center"/>
          </w:tcPr>
          <w:p w14:paraId="17B4E3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622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C95C641">
            <w:pPr>
              <w:jc w:val="center"/>
              <w:rPr>
                <w:rFonts w:hint="eastAsia" w:ascii="宋体" w:hAnsi="宋体" w:eastAsia="宋体" w:cs="宋体"/>
                <w:color w:val="auto"/>
                <w:sz w:val="21"/>
                <w:szCs w:val="21"/>
                <w:highlight w:val="none"/>
              </w:rPr>
            </w:pPr>
            <w:bookmarkStart w:id="71" w:name="_Toc476258666"/>
            <w:r>
              <w:rPr>
                <w:rFonts w:hint="eastAsia" w:ascii="宋体" w:hAnsi="宋体" w:eastAsia="宋体" w:cs="宋体"/>
                <w:color w:val="auto"/>
                <w:sz w:val="21"/>
                <w:szCs w:val="21"/>
                <w:highlight w:val="none"/>
              </w:rPr>
              <w:t>商务部分</w:t>
            </w:r>
            <w:bookmarkEnd w:id="71"/>
            <w:r>
              <w:rPr>
                <w:rFonts w:hint="eastAsia" w:ascii="宋体" w:hAnsi="宋体" w:eastAsia="宋体" w:cs="宋体"/>
                <w:color w:val="auto"/>
                <w:sz w:val="21"/>
                <w:szCs w:val="21"/>
                <w:highlight w:val="none"/>
              </w:rPr>
              <w:t>（商务要求表）</w:t>
            </w:r>
          </w:p>
        </w:tc>
      </w:tr>
      <w:tr w14:paraId="59E71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37AAB22D">
            <w:pPr>
              <w:jc w:val="center"/>
              <w:rPr>
                <w:rFonts w:hint="eastAsia" w:ascii="宋体" w:hAnsi="宋体" w:eastAsia="宋体" w:cs="宋体"/>
                <w:color w:val="auto"/>
                <w:sz w:val="21"/>
                <w:szCs w:val="21"/>
                <w:highlight w:val="none"/>
              </w:rPr>
            </w:pPr>
            <w:bookmarkStart w:id="72" w:name="_Toc173211905"/>
            <w:bookmarkStart w:id="73" w:name="_Toc254970593"/>
            <w:bookmarkStart w:id="74" w:name="_Toc254970734"/>
            <w:bookmarkStart w:id="75" w:name="_Toc173066406"/>
            <w:r>
              <w:rPr>
                <w:rFonts w:hint="eastAsia" w:ascii="宋体" w:hAnsi="宋体" w:eastAsia="宋体" w:cs="宋体"/>
                <w:color w:val="auto"/>
                <w:sz w:val="21"/>
                <w:szCs w:val="21"/>
                <w:highlight w:val="none"/>
              </w:rPr>
              <w:t>1</w:t>
            </w:r>
            <w:bookmarkEnd w:id="72"/>
            <w:bookmarkEnd w:id="73"/>
            <w:bookmarkEnd w:id="74"/>
            <w:bookmarkEnd w:id="75"/>
          </w:p>
        </w:tc>
        <w:tc>
          <w:tcPr>
            <w:tcW w:w="3013" w:type="dxa"/>
            <w:noWrap w:val="0"/>
            <w:vAlign w:val="center"/>
          </w:tcPr>
          <w:p w14:paraId="238C310D">
            <w:pPr>
              <w:tabs>
                <w:tab w:val="left" w:pos="180"/>
                <w:tab w:val="left" w:pos="1620"/>
              </w:tabs>
              <w:spacing w:line="400" w:lineRule="exact"/>
              <w:jc w:val="center"/>
              <w:rPr>
                <w:rFonts w:hint="eastAsia" w:ascii="宋体" w:hAnsi="宋体" w:eastAsia="宋体" w:cs="宋体"/>
                <w:color w:val="auto"/>
                <w:sz w:val="21"/>
                <w:szCs w:val="21"/>
                <w:highlight w:val="none"/>
              </w:rPr>
            </w:pPr>
          </w:p>
        </w:tc>
        <w:tc>
          <w:tcPr>
            <w:tcW w:w="3159" w:type="dxa"/>
            <w:noWrap w:val="0"/>
            <w:vAlign w:val="top"/>
          </w:tcPr>
          <w:p w14:paraId="751884A8">
            <w:pPr>
              <w:rPr>
                <w:rFonts w:hint="eastAsia" w:ascii="宋体" w:hAnsi="宋体" w:eastAsia="宋体" w:cs="宋体"/>
                <w:color w:val="auto"/>
                <w:sz w:val="21"/>
                <w:szCs w:val="21"/>
                <w:highlight w:val="none"/>
              </w:rPr>
            </w:pPr>
          </w:p>
        </w:tc>
        <w:tc>
          <w:tcPr>
            <w:tcW w:w="1571" w:type="dxa"/>
            <w:noWrap w:val="0"/>
            <w:vAlign w:val="center"/>
          </w:tcPr>
          <w:p w14:paraId="063B9DBE">
            <w:pPr>
              <w:jc w:val="center"/>
              <w:rPr>
                <w:rFonts w:hint="eastAsia" w:ascii="宋体" w:hAnsi="宋体" w:eastAsia="宋体" w:cs="宋体"/>
                <w:color w:val="auto"/>
                <w:sz w:val="21"/>
                <w:szCs w:val="21"/>
                <w:highlight w:val="none"/>
              </w:rPr>
            </w:pPr>
          </w:p>
        </w:tc>
        <w:tc>
          <w:tcPr>
            <w:tcW w:w="1460" w:type="dxa"/>
            <w:noWrap w:val="0"/>
            <w:vAlign w:val="center"/>
          </w:tcPr>
          <w:p w14:paraId="6F3FE11D">
            <w:pPr>
              <w:jc w:val="center"/>
              <w:rPr>
                <w:rFonts w:hint="eastAsia" w:ascii="宋体" w:hAnsi="宋体" w:eastAsia="宋体" w:cs="宋体"/>
                <w:color w:val="auto"/>
                <w:sz w:val="21"/>
                <w:szCs w:val="21"/>
                <w:highlight w:val="none"/>
              </w:rPr>
            </w:pPr>
          </w:p>
        </w:tc>
      </w:tr>
      <w:tr w14:paraId="20DBC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3128799">
            <w:pPr>
              <w:jc w:val="center"/>
              <w:rPr>
                <w:rFonts w:hint="eastAsia" w:ascii="宋体" w:hAnsi="宋体" w:eastAsia="宋体" w:cs="宋体"/>
                <w:color w:val="auto"/>
                <w:sz w:val="21"/>
                <w:szCs w:val="21"/>
                <w:highlight w:val="none"/>
              </w:rPr>
            </w:pPr>
            <w:bookmarkStart w:id="76" w:name="_Toc173211906"/>
            <w:bookmarkStart w:id="77" w:name="_Toc254970594"/>
            <w:bookmarkStart w:id="78" w:name="_Toc173066407"/>
            <w:bookmarkStart w:id="79" w:name="_Toc254970735"/>
            <w:r>
              <w:rPr>
                <w:rFonts w:hint="eastAsia" w:ascii="宋体" w:hAnsi="宋体" w:eastAsia="宋体" w:cs="宋体"/>
                <w:color w:val="auto"/>
                <w:sz w:val="21"/>
                <w:szCs w:val="21"/>
                <w:highlight w:val="none"/>
              </w:rPr>
              <w:t>2</w:t>
            </w:r>
            <w:bookmarkEnd w:id="76"/>
            <w:bookmarkEnd w:id="77"/>
            <w:bookmarkEnd w:id="78"/>
            <w:bookmarkEnd w:id="79"/>
          </w:p>
        </w:tc>
        <w:tc>
          <w:tcPr>
            <w:tcW w:w="3013" w:type="dxa"/>
            <w:noWrap w:val="0"/>
            <w:vAlign w:val="center"/>
          </w:tcPr>
          <w:p w14:paraId="0C3476DF">
            <w:pP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48C762A2">
            <w:pPr>
              <w:rPr>
                <w:rFonts w:hint="eastAsia" w:ascii="宋体" w:hAnsi="宋体" w:eastAsia="宋体" w:cs="宋体"/>
                <w:color w:val="auto"/>
                <w:sz w:val="21"/>
                <w:szCs w:val="21"/>
                <w:highlight w:val="none"/>
              </w:rPr>
            </w:pPr>
          </w:p>
        </w:tc>
        <w:tc>
          <w:tcPr>
            <w:tcW w:w="1571" w:type="dxa"/>
            <w:noWrap w:val="0"/>
            <w:vAlign w:val="center"/>
          </w:tcPr>
          <w:p w14:paraId="7A9DCB5F">
            <w:pPr>
              <w:jc w:val="center"/>
              <w:rPr>
                <w:rFonts w:hint="eastAsia" w:ascii="宋体" w:hAnsi="宋体" w:eastAsia="宋体" w:cs="宋体"/>
                <w:color w:val="auto"/>
                <w:sz w:val="21"/>
                <w:szCs w:val="21"/>
                <w:highlight w:val="none"/>
              </w:rPr>
            </w:pPr>
          </w:p>
        </w:tc>
        <w:tc>
          <w:tcPr>
            <w:tcW w:w="1460" w:type="dxa"/>
            <w:noWrap w:val="0"/>
            <w:vAlign w:val="center"/>
          </w:tcPr>
          <w:p w14:paraId="7C151DF4">
            <w:pPr>
              <w:jc w:val="center"/>
              <w:rPr>
                <w:rFonts w:hint="eastAsia" w:ascii="宋体" w:hAnsi="宋体" w:eastAsia="宋体" w:cs="宋体"/>
                <w:color w:val="auto"/>
                <w:sz w:val="21"/>
                <w:szCs w:val="21"/>
                <w:highlight w:val="none"/>
              </w:rPr>
            </w:pPr>
          </w:p>
        </w:tc>
      </w:tr>
      <w:tr w14:paraId="116E8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8DD807B">
            <w:pPr>
              <w:jc w:val="center"/>
              <w:rPr>
                <w:rFonts w:hint="eastAsia" w:ascii="宋体" w:hAnsi="宋体" w:eastAsia="宋体" w:cs="宋体"/>
                <w:color w:val="auto"/>
                <w:kern w:val="2"/>
                <w:sz w:val="21"/>
                <w:szCs w:val="21"/>
                <w:highlight w:val="none"/>
                <w:lang w:val="en-US" w:eastAsia="zh-CN" w:bidi="ar-SA"/>
              </w:rPr>
            </w:pPr>
            <w:bookmarkStart w:id="80" w:name="_Toc173211907"/>
            <w:bookmarkStart w:id="81" w:name="_Toc254970595"/>
            <w:bookmarkStart w:id="82" w:name="_Toc173066408"/>
            <w:bookmarkStart w:id="83" w:name="_Toc254970736"/>
            <w:r>
              <w:rPr>
                <w:rFonts w:hint="eastAsia" w:ascii="宋体" w:hAnsi="宋体" w:eastAsia="宋体" w:cs="宋体"/>
                <w:color w:val="auto"/>
                <w:sz w:val="21"/>
                <w:szCs w:val="21"/>
                <w:highlight w:val="none"/>
                <w:lang w:val="en-US" w:eastAsia="zh-CN"/>
              </w:rPr>
              <w:t>3</w:t>
            </w:r>
          </w:p>
        </w:tc>
        <w:tc>
          <w:tcPr>
            <w:tcW w:w="3013" w:type="dxa"/>
            <w:noWrap w:val="0"/>
            <w:vAlign w:val="center"/>
          </w:tcPr>
          <w:p w14:paraId="1C15A1E5">
            <w:pPr>
              <w:spacing w:line="360" w:lineRule="auto"/>
              <w:jc w:val="center"/>
              <w:rPr>
                <w:rFonts w:hint="eastAsia" w:ascii="宋体" w:hAnsi="宋体" w:eastAsia="宋体" w:cs="宋体"/>
                <w:color w:val="auto"/>
                <w:sz w:val="21"/>
                <w:szCs w:val="21"/>
                <w:highlight w:val="none"/>
                <w:lang w:val="en-US" w:eastAsia="zh-CN"/>
              </w:rPr>
            </w:pPr>
          </w:p>
        </w:tc>
        <w:tc>
          <w:tcPr>
            <w:tcW w:w="3159" w:type="dxa"/>
            <w:noWrap w:val="0"/>
            <w:vAlign w:val="top"/>
          </w:tcPr>
          <w:p w14:paraId="790E8151">
            <w:pPr>
              <w:rPr>
                <w:rFonts w:hint="eastAsia" w:ascii="宋体" w:hAnsi="宋体" w:eastAsia="宋体" w:cs="宋体"/>
                <w:color w:val="auto"/>
                <w:sz w:val="21"/>
                <w:szCs w:val="21"/>
                <w:highlight w:val="none"/>
              </w:rPr>
            </w:pPr>
          </w:p>
        </w:tc>
        <w:tc>
          <w:tcPr>
            <w:tcW w:w="1571" w:type="dxa"/>
            <w:noWrap w:val="0"/>
            <w:vAlign w:val="center"/>
          </w:tcPr>
          <w:p w14:paraId="7CC37376">
            <w:pPr>
              <w:jc w:val="center"/>
              <w:rPr>
                <w:rFonts w:hint="eastAsia" w:ascii="宋体" w:hAnsi="宋体" w:eastAsia="宋体" w:cs="宋体"/>
                <w:color w:val="auto"/>
                <w:sz w:val="21"/>
                <w:szCs w:val="21"/>
                <w:highlight w:val="none"/>
              </w:rPr>
            </w:pPr>
          </w:p>
        </w:tc>
        <w:tc>
          <w:tcPr>
            <w:tcW w:w="1460" w:type="dxa"/>
            <w:noWrap w:val="0"/>
            <w:vAlign w:val="center"/>
          </w:tcPr>
          <w:p w14:paraId="4F9964F4">
            <w:pPr>
              <w:jc w:val="center"/>
              <w:rPr>
                <w:rFonts w:hint="eastAsia" w:ascii="宋体" w:hAnsi="宋体" w:eastAsia="宋体" w:cs="宋体"/>
                <w:color w:val="auto"/>
                <w:sz w:val="21"/>
                <w:szCs w:val="21"/>
                <w:highlight w:val="none"/>
              </w:rPr>
            </w:pPr>
          </w:p>
        </w:tc>
      </w:tr>
      <w:tr w14:paraId="45057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C3700F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013" w:type="dxa"/>
            <w:noWrap w:val="0"/>
            <w:vAlign w:val="center"/>
          </w:tcPr>
          <w:p w14:paraId="197DE37F">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top"/>
          </w:tcPr>
          <w:p w14:paraId="446B33A3">
            <w:pPr>
              <w:rPr>
                <w:rFonts w:hint="eastAsia" w:ascii="宋体" w:hAnsi="宋体" w:eastAsia="宋体" w:cs="宋体"/>
                <w:color w:val="auto"/>
                <w:sz w:val="21"/>
                <w:szCs w:val="21"/>
                <w:highlight w:val="none"/>
              </w:rPr>
            </w:pPr>
          </w:p>
        </w:tc>
        <w:tc>
          <w:tcPr>
            <w:tcW w:w="1571" w:type="dxa"/>
            <w:noWrap w:val="0"/>
            <w:vAlign w:val="center"/>
          </w:tcPr>
          <w:p w14:paraId="47A1861A">
            <w:pPr>
              <w:jc w:val="center"/>
              <w:rPr>
                <w:rFonts w:hint="eastAsia" w:ascii="宋体" w:hAnsi="宋体" w:eastAsia="宋体" w:cs="宋体"/>
                <w:color w:val="auto"/>
                <w:sz w:val="21"/>
                <w:szCs w:val="21"/>
                <w:highlight w:val="none"/>
              </w:rPr>
            </w:pPr>
          </w:p>
        </w:tc>
        <w:tc>
          <w:tcPr>
            <w:tcW w:w="1460" w:type="dxa"/>
            <w:noWrap w:val="0"/>
            <w:vAlign w:val="center"/>
          </w:tcPr>
          <w:p w14:paraId="77719385">
            <w:pPr>
              <w:jc w:val="center"/>
              <w:rPr>
                <w:rFonts w:hint="eastAsia" w:ascii="宋体" w:hAnsi="宋体" w:eastAsia="宋体" w:cs="宋体"/>
                <w:color w:val="auto"/>
                <w:sz w:val="21"/>
                <w:szCs w:val="21"/>
                <w:highlight w:val="none"/>
              </w:rPr>
            </w:pPr>
          </w:p>
        </w:tc>
      </w:tr>
      <w:tr w14:paraId="3EA91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60DBDB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3013" w:type="dxa"/>
            <w:noWrap w:val="0"/>
            <w:vAlign w:val="center"/>
          </w:tcPr>
          <w:p w14:paraId="1B86B2AC">
            <w:pP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52BDAF8B">
            <w:pPr>
              <w:rPr>
                <w:rFonts w:hint="eastAsia" w:ascii="宋体" w:hAnsi="宋体" w:eastAsia="宋体" w:cs="宋体"/>
                <w:color w:val="auto"/>
                <w:sz w:val="21"/>
                <w:szCs w:val="21"/>
                <w:highlight w:val="none"/>
              </w:rPr>
            </w:pPr>
          </w:p>
        </w:tc>
        <w:tc>
          <w:tcPr>
            <w:tcW w:w="1571" w:type="dxa"/>
            <w:noWrap w:val="0"/>
            <w:vAlign w:val="center"/>
          </w:tcPr>
          <w:p w14:paraId="427B6E41">
            <w:pPr>
              <w:jc w:val="center"/>
              <w:rPr>
                <w:rFonts w:hint="eastAsia" w:ascii="宋体" w:hAnsi="宋体" w:eastAsia="宋体" w:cs="宋体"/>
                <w:color w:val="auto"/>
                <w:sz w:val="21"/>
                <w:szCs w:val="21"/>
                <w:highlight w:val="none"/>
              </w:rPr>
            </w:pPr>
          </w:p>
        </w:tc>
        <w:tc>
          <w:tcPr>
            <w:tcW w:w="1460" w:type="dxa"/>
            <w:noWrap w:val="0"/>
            <w:vAlign w:val="center"/>
          </w:tcPr>
          <w:p w14:paraId="08C23983">
            <w:pPr>
              <w:jc w:val="center"/>
              <w:rPr>
                <w:rFonts w:hint="eastAsia" w:ascii="宋体" w:hAnsi="宋体" w:eastAsia="宋体" w:cs="宋体"/>
                <w:color w:val="auto"/>
                <w:sz w:val="21"/>
                <w:szCs w:val="21"/>
                <w:highlight w:val="none"/>
              </w:rPr>
            </w:pPr>
          </w:p>
        </w:tc>
      </w:tr>
      <w:bookmarkEnd w:id="80"/>
      <w:bookmarkEnd w:id="81"/>
      <w:bookmarkEnd w:id="82"/>
      <w:bookmarkEnd w:id="83"/>
      <w:tr w14:paraId="7FF35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BBF47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13" w:type="dxa"/>
            <w:noWrap w:val="0"/>
            <w:vAlign w:val="center"/>
          </w:tcPr>
          <w:p w14:paraId="4DBFD50D">
            <w:pPr>
              <w:jc w:val="center"/>
              <w:rPr>
                <w:rFonts w:hint="eastAsia" w:ascii="宋体" w:hAnsi="宋体" w:eastAsia="宋体" w:cs="宋体"/>
                <w:color w:val="auto"/>
                <w:sz w:val="21"/>
                <w:szCs w:val="21"/>
                <w:highlight w:val="none"/>
                <w:lang w:eastAsia="zh-CN"/>
              </w:rPr>
            </w:pPr>
          </w:p>
        </w:tc>
        <w:tc>
          <w:tcPr>
            <w:tcW w:w="3159" w:type="dxa"/>
            <w:noWrap w:val="0"/>
            <w:vAlign w:val="top"/>
          </w:tcPr>
          <w:p w14:paraId="693E739E">
            <w:pPr>
              <w:rPr>
                <w:rFonts w:hint="eastAsia" w:ascii="宋体" w:hAnsi="宋体" w:eastAsia="宋体" w:cs="宋体"/>
                <w:color w:val="auto"/>
                <w:sz w:val="21"/>
                <w:szCs w:val="21"/>
                <w:highlight w:val="none"/>
              </w:rPr>
            </w:pPr>
          </w:p>
        </w:tc>
        <w:tc>
          <w:tcPr>
            <w:tcW w:w="1571" w:type="dxa"/>
            <w:noWrap w:val="0"/>
            <w:vAlign w:val="center"/>
          </w:tcPr>
          <w:p w14:paraId="0CDA5B40">
            <w:pPr>
              <w:jc w:val="center"/>
              <w:rPr>
                <w:rFonts w:hint="eastAsia" w:ascii="宋体" w:hAnsi="宋体" w:eastAsia="宋体" w:cs="宋体"/>
                <w:color w:val="auto"/>
                <w:sz w:val="21"/>
                <w:szCs w:val="21"/>
                <w:highlight w:val="none"/>
              </w:rPr>
            </w:pPr>
          </w:p>
        </w:tc>
        <w:tc>
          <w:tcPr>
            <w:tcW w:w="1460" w:type="dxa"/>
            <w:noWrap w:val="0"/>
            <w:vAlign w:val="center"/>
          </w:tcPr>
          <w:p w14:paraId="0EA6D297">
            <w:pPr>
              <w:jc w:val="center"/>
              <w:rPr>
                <w:rFonts w:hint="eastAsia" w:ascii="宋体" w:hAnsi="宋体" w:eastAsia="宋体" w:cs="宋体"/>
                <w:color w:val="auto"/>
                <w:sz w:val="21"/>
                <w:szCs w:val="21"/>
                <w:highlight w:val="none"/>
              </w:rPr>
            </w:pPr>
          </w:p>
        </w:tc>
      </w:tr>
      <w:tr w14:paraId="0C22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3AD8D61">
            <w:pPr>
              <w:jc w:val="center"/>
              <w:rPr>
                <w:rFonts w:hint="eastAsia" w:ascii="宋体" w:hAnsi="宋体" w:eastAsia="宋体" w:cs="宋体"/>
                <w:color w:val="auto"/>
                <w:sz w:val="21"/>
                <w:szCs w:val="21"/>
                <w:highlight w:val="none"/>
              </w:rPr>
            </w:pPr>
            <w:bookmarkStart w:id="84" w:name="_Toc476258667"/>
            <w:r>
              <w:rPr>
                <w:rFonts w:hint="eastAsia" w:ascii="宋体" w:hAnsi="宋体" w:eastAsia="宋体" w:cs="宋体"/>
                <w:color w:val="auto"/>
                <w:sz w:val="21"/>
                <w:szCs w:val="21"/>
                <w:highlight w:val="none"/>
              </w:rPr>
              <w:t>服务部分</w:t>
            </w:r>
            <w:bookmarkEnd w:id="84"/>
            <w:r>
              <w:rPr>
                <w:rFonts w:hint="eastAsia" w:ascii="宋体" w:hAnsi="宋体" w:eastAsia="宋体" w:cs="宋体"/>
                <w:color w:val="auto"/>
                <w:sz w:val="21"/>
                <w:szCs w:val="21"/>
                <w:highlight w:val="none"/>
              </w:rPr>
              <w:t>（内容和要求）</w:t>
            </w:r>
          </w:p>
        </w:tc>
      </w:tr>
      <w:tr w14:paraId="05F97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A526516">
            <w:pPr>
              <w:jc w:val="center"/>
              <w:rPr>
                <w:rFonts w:hint="eastAsia" w:ascii="宋体" w:hAnsi="宋体" w:eastAsia="宋体" w:cs="宋体"/>
                <w:color w:val="auto"/>
                <w:sz w:val="21"/>
                <w:szCs w:val="21"/>
                <w:highlight w:val="none"/>
              </w:rPr>
            </w:pPr>
            <w:bookmarkStart w:id="85" w:name="_Toc476258668"/>
            <w:r>
              <w:rPr>
                <w:rFonts w:hint="eastAsia" w:ascii="宋体" w:hAnsi="宋体" w:eastAsia="宋体" w:cs="宋体"/>
                <w:color w:val="auto"/>
                <w:sz w:val="21"/>
                <w:szCs w:val="21"/>
                <w:highlight w:val="none"/>
              </w:rPr>
              <w:t>1</w:t>
            </w:r>
            <w:bookmarkEnd w:id="85"/>
          </w:p>
        </w:tc>
        <w:tc>
          <w:tcPr>
            <w:tcW w:w="3013" w:type="dxa"/>
            <w:noWrap w:val="0"/>
            <w:vAlign w:val="center"/>
          </w:tcPr>
          <w:p w14:paraId="122A3255">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07F86C0A">
            <w:pPr>
              <w:rPr>
                <w:rFonts w:hint="eastAsia" w:ascii="宋体" w:hAnsi="宋体" w:eastAsia="宋体" w:cs="宋体"/>
                <w:color w:val="auto"/>
                <w:sz w:val="21"/>
                <w:szCs w:val="21"/>
                <w:highlight w:val="none"/>
              </w:rPr>
            </w:pPr>
          </w:p>
        </w:tc>
        <w:tc>
          <w:tcPr>
            <w:tcW w:w="1571" w:type="dxa"/>
            <w:noWrap w:val="0"/>
            <w:vAlign w:val="center"/>
          </w:tcPr>
          <w:p w14:paraId="284A763C">
            <w:pPr>
              <w:rPr>
                <w:rFonts w:hint="eastAsia" w:ascii="宋体" w:hAnsi="宋体" w:eastAsia="宋体" w:cs="宋体"/>
                <w:color w:val="auto"/>
                <w:sz w:val="21"/>
                <w:szCs w:val="21"/>
                <w:highlight w:val="none"/>
              </w:rPr>
            </w:pPr>
          </w:p>
        </w:tc>
        <w:tc>
          <w:tcPr>
            <w:tcW w:w="1460" w:type="dxa"/>
            <w:noWrap w:val="0"/>
            <w:vAlign w:val="center"/>
          </w:tcPr>
          <w:p w14:paraId="344EA88D">
            <w:pPr>
              <w:rPr>
                <w:rFonts w:hint="eastAsia" w:ascii="宋体" w:hAnsi="宋体" w:eastAsia="宋体" w:cs="宋体"/>
                <w:color w:val="auto"/>
                <w:sz w:val="21"/>
                <w:szCs w:val="21"/>
                <w:highlight w:val="none"/>
              </w:rPr>
            </w:pPr>
          </w:p>
        </w:tc>
      </w:tr>
      <w:tr w14:paraId="7F736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B185F84">
            <w:pPr>
              <w:jc w:val="center"/>
              <w:rPr>
                <w:rFonts w:hint="eastAsia" w:ascii="宋体" w:hAnsi="宋体" w:eastAsia="宋体" w:cs="宋体"/>
                <w:color w:val="auto"/>
                <w:sz w:val="21"/>
                <w:szCs w:val="21"/>
                <w:highlight w:val="none"/>
              </w:rPr>
            </w:pPr>
            <w:bookmarkStart w:id="86" w:name="_Toc476258669"/>
            <w:r>
              <w:rPr>
                <w:rFonts w:hint="eastAsia" w:ascii="宋体" w:hAnsi="宋体" w:eastAsia="宋体" w:cs="宋体"/>
                <w:color w:val="auto"/>
                <w:sz w:val="21"/>
                <w:szCs w:val="21"/>
                <w:highlight w:val="none"/>
              </w:rPr>
              <w:t>2</w:t>
            </w:r>
            <w:bookmarkEnd w:id="86"/>
          </w:p>
        </w:tc>
        <w:tc>
          <w:tcPr>
            <w:tcW w:w="3013" w:type="dxa"/>
            <w:noWrap w:val="0"/>
            <w:vAlign w:val="center"/>
          </w:tcPr>
          <w:p w14:paraId="507AD9FA">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31670DA7">
            <w:pPr>
              <w:rPr>
                <w:rFonts w:hint="eastAsia" w:ascii="宋体" w:hAnsi="宋体" w:eastAsia="宋体" w:cs="宋体"/>
                <w:color w:val="auto"/>
                <w:sz w:val="21"/>
                <w:szCs w:val="21"/>
                <w:highlight w:val="none"/>
              </w:rPr>
            </w:pPr>
          </w:p>
        </w:tc>
        <w:tc>
          <w:tcPr>
            <w:tcW w:w="1571" w:type="dxa"/>
            <w:noWrap w:val="0"/>
            <w:vAlign w:val="center"/>
          </w:tcPr>
          <w:p w14:paraId="0ED71BFE">
            <w:pPr>
              <w:rPr>
                <w:rFonts w:hint="eastAsia" w:ascii="宋体" w:hAnsi="宋体" w:eastAsia="宋体" w:cs="宋体"/>
                <w:color w:val="auto"/>
                <w:sz w:val="21"/>
                <w:szCs w:val="21"/>
                <w:highlight w:val="none"/>
              </w:rPr>
            </w:pPr>
          </w:p>
        </w:tc>
        <w:tc>
          <w:tcPr>
            <w:tcW w:w="1460" w:type="dxa"/>
            <w:noWrap w:val="0"/>
            <w:vAlign w:val="center"/>
          </w:tcPr>
          <w:p w14:paraId="5C1AFEC5">
            <w:pPr>
              <w:rPr>
                <w:rFonts w:hint="eastAsia" w:ascii="宋体" w:hAnsi="宋体" w:eastAsia="宋体" w:cs="宋体"/>
                <w:color w:val="auto"/>
                <w:sz w:val="21"/>
                <w:szCs w:val="21"/>
                <w:highlight w:val="none"/>
              </w:rPr>
            </w:pPr>
          </w:p>
        </w:tc>
      </w:tr>
      <w:tr w14:paraId="50141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CF2F140">
            <w:pPr>
              <w:jc w:val="center"/>
              <w:rPr>
                <w:rFonts w:hint="eastAsia" w:ascii="宋体" w:hAnsi="宋体" w:eastAsia="宋体" w:cs="宋体"/>
                <w:color w:val="auto"/>
                <w:sz w:val="21"/>
                <w:szCs w:val="21"/>
                <w:highlight w:val="none"/>
              </w:rPr>
            </w:pPr>
            <w:bookmarkStart w:id="87" w:name="_Toc476258670"/>
            <w:r>
              <w:rPr>
                <w:rFonts w:hint="eastAsia" w:ascii="宋体" w:hAnsi="宋体" w:eastAsia="宋体" w:cs="宋体"/>
                <w:color w:val="auto"/>
                <w:sz w:val="21"/>
                <w:szCs w:val="21"/>
                <w:highlight w:val="none"/>
              </w:rPr>
              <w:t>3</w:t>
            </w:r>
            <w:bookmarkEnd w:id="87"/>
          </w:p>
        </w:tc>
        <w:tc>
          <w:tcPr>
            <w:tcW w:w="3013" w:type="dxa"/>
            <w:noWrap w:val="0"/>
            <w:vAlign w:val="center"/>
          </w:tcPr>
          <w:p w14:paraId="7A97488F">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74781FF1">
            <w:pPr>
              <w:rPr>
                <w:rFonts w:hint="eastAsia" w:ascii="宋体" w:hAnsi="宋体" w:eastAsia="宋体" w:cs="宋体"/>
                <w:color w:val="auto"/>
                <w:sz w:val="21"/>
                <w:szCs w:val="21"/>
                <w:highlight w:val="none"/>
              </w:rPr>
            </w:pPr>
          </w:p>
        </w:tc>
        <w:tc>
          <w:tcPr>
            <w:tcW w:w="1571" w:type="dxa"/>
            <w:noWrap w:val="0"/>
            <w:vAlign w:val="center"/>
          </w:tcPr>
          <w:p w14:paraId="3A4BFEBE">
            <w:pPr>
              <w:rPr>
                <w:rFonts w:hint="eastAsia" w:ascii="宋体" w:hAnsi="宋体" w:eastAsia="宋体" w:cs="宋体"/>
                <w:color w:val="auto"/>
                <w:sz w:val="21"/>
                <w:szCs w:val="21"/>
                <w:highlight w:val="none"/>
              </w:rPr>
            </w:pPr>
          </w:p>
        </w:tc>
        <w:tc>
          <w:tcPr>
            <w:tcW w:w="1460" w:type="dxa"/>
            <w:noWrap w:val="0"/>
            <w:vAlign w:val="center"/>
          </w:tcPr>
          <w:p w14:paraId="6CEA3EB8">
            <w:pPr>
              <w:rPr>
                <w:rFonts w:hint="eastAsia" w:ascii="宋体" w:hAnsi="宋体" w:eastAsia="宋体" w:cs="宋体"/>
                <w:color w:val="auto"/>
                <w:sz w:val="21"/>
                <w:szCs w:val="21"/>
                <w:highlight w:val="none"/>
              </w:rPr>
            </w:pPr>
          </w:p>
        </w:tc>
      </w:tr>
      <w:tr w14:paraId="48652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5ACAFBD2">
            <w:pPr>
              <w:jc w:val="center"/>
              <w:rPr>
                <w:rFonts w:hint="eastAsia" w:ascii="宋体" w:hAnsi="宋体" w:eastAsia="宋体" w:cs="宋体"/>
                <w:color w:val="auto"/>
                <w:sz w:val="21"/>
                <w:szCs w:val="21"/>
                <w:highlight w:val="none"/>
              </w:rPr>
            </w:pPr>
            <w:bookmarkStart w:id="88" w:name="_Toc476258671"/>
            <w:r>
              <w:rPr>
                <w:rFonts w:hint="eastAsia" w:ascii="宋体" w:hAnsi="宋体" w:eastAsia="宋体" w:cs="宋体"/>
                <w:color w:val="auto"/>
                <w:sz w:val="21"/>
                <w:szCs w:val="21"/>
                <w:highlight w:val="none"/>
              </w:rPr>
              <w:t>…</w:t>
            </w:r>
            <w:bookmarkEnd w:id="88"/>
          </w:p>
        </w:tc>
        <w:tc>
          <w:tcPr>
            <w:tcW w:w="3013" w:type="dxa"/>
            <w:noWrap w:val="0"/>
            <w:vAlign w:val="center"/>
          </w:tcPr>
          <w:p w14:paraId="5FD3B1F0">
            <w:pPr>
              <w:rPr>
                <w:rFonts w:hint="eastAsia" w:ascii="宋体" w:hAnsi="宋体" w:eastAsia="宋体" w:cs="宋体"/>
                <w:color w:val="auto"/>
                <w:sz w:val="21"/>
                <w:szCs w:val="21"/>
                <w:highlight w:val="none"/>
              </w:rPr>
            </w:pPr>
          </w:p>
        </w:tc>
        <w:tc>
          <w:tcPr>
            <w:tcW w:w="3159" w:type="dxa"/>
            <w:noWrap w:val="0"/>
            <w:vAlign w:val="center"/>
          </w:tcPr>
          <w:p w14:paraId="25299E8F">
            <w:pPr>
              <w:rPr>
                <w:rFonts w:hint="eastAsia" w:ascii="宋体" w:hAnsi="宋体" w:eastAsia="宋体" w:cs="宋体"/>
                <w:color w:val="auto"/>
                <w:sz w:val="21"/>
                <w:szCs w:val="21"/>
                <w:highlight w:val="none"/>
              </w:rPr>
            </w:pPr>
          </w:p>
        </w:tc>
        <w:tc>
          <w:tcPr>
            <w:tcW w:w="1571" w:type="dxa"/>
            <w:tcBorders>
              <w:right w:val="single" w:color="auto" w:sz="4" w:space="0"/>
            </w:tcBorders>
            <w:noWrap w:val="0"/>
            <w:vAlign w:val="center"/>
          </w:tcPr>
          <w:p w14:paraId="4C91861E">
            <w:pPr>
              <w:rPr>
                <w:rFonts w:hint="eastAsia" w:ascii="宋体" w:hAnsi="宋体" w:eastAsia="宋体" w:cs="宋体"/>
                <w:color w:val="auto"/>
                <w:sz w:val="21"/>
                <w:szCs w:val="21"/>
                <w:highlight w:val="none"/>
              </w:rPr>
            </w:pPr>
          </w:p>
        </w:tc>
        <w:tc>
          <w:tcPr>
            <w:tcW w:w="1460" w:type="dxa"/>
            <w:tcBorders>
              <w:left w:val="single" w:color="auto" w:sz="4" w:space="0"/>
            </w:tcBorders>
            <w:noWrap w:val="0"/>
            <w:vAlign w:val="center"/>
          </w:tcPr>
          <w:p w14:paraId="7CA06A11">
            <w:pPr>
              <w:rPr>
                <w:rFonts w:hint="eastAsia" w:ascii="宋体" w:hAnsi="宋体" w:eastAsia="宋体" w:cs="宋体"/>
                <w:color w:val="auto"/>
                <w:sz w:val="21"/>
                <w:szCs w:val="21"/>
                <w:highlight w:val="none"/>
              </w:rPr>
            </w:pPr>
          </w:p>
        </w:tc>
      </w:tr>
    </w:tbl>
    <w:p w14:paraId="1823B6F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说明：</w:t>
      </w:r>
      <w:r>
        <w:rPr>
          <w:rFonts w:hint="eastAsia" w:hAnsi="宋体"/>
          <w:b/>
          <w:color w:val="auto"/>
          <w:highlight w:val="none"/>
        </w:rPr>
        <w:t>1、应写明竞</w:t>
      </w:r>
      <w:r>
        <w:rPr>
          <w:rFonts w:hint="eastAsia" w:ascii="宋体" w:hAnsi="宋体"/>
          <w:b/>
          <w:color w:val="auto"/>
          <w:szCs w:val="21"/>
          <w:highlight w:val="none"/>
        </w:rPr>
        <w:t>争性磋商响应文件对</w:t>
      </w:r>
      <w:r>
        <w:rPr>
          <w:rFonts w:hint="eastAsia"/>
          <w:b/>
          <w:color w:val="auto"/>
          <w:highlight w:val="none"/>
        </w:rPr>
        <w:t>商务</w:t>
      </w:r>
      <w:r>
        <w:rPr>
          <w:rFonts w:hint="eastAsia" w:hAnsi="宋体"/>
          <w:b/>
          <w:color w:val="auto"/>
          <w:highlight w:val="none"/>
        </w:rPr>
        <w:t>与服务要求的</w:t>
      </w:r>
      <w:r>
        <w:rPr>
          <w:rFonts w:hint="eastAsia" w:ascii="宋体" w:hAnsi="宋体"/>
          <w:b/>
          <w:color w:val="auto"/>
          <w:szCs w:val="21"/>
          <w:highlight w:val="none"/>
        </w:rPr>
        <w:t>响应和偏离情况</w:t>
      </w:r>
      <w:r>
        <w:rPr>
          <w:rFonts w:hint="eastAsia"/>
          <w:b/>
          <w:bCs/>
          <w:color w:val="auto"/>
          <w:szCs w:val="21"/>
          <w:highlight w:val="none"/>
        </w:rPr>
        <w:t>；</w:t>
      </w:r>
    </w:p>
    <w:p w14:paraId="15C2D0E9">
      <w:pPr>
        <w:pStyle w:val="9"/>
        <w:keepNext w:val="0"/>
        <w:keepLines w:val="0"/>
        <w:pageBreakBefore w:val="0"/>
        <w:widowControl w:val="0"/>
        <w:kinsoku/>
        <w:wordWrap/>
        <w:overflowPunct/>
        <w:topLinePunct w:val="0"/>
        <w:autoSpaceDE/>
        <w:autoSpaceDN/>
        <w:bidi w:val="0"/>
        <w:spacing w:line="380" w:lineRule="exact"/>
        <w:ind w:firstLine="632" w:firstLineChars="300"/>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2、应对照竞争性磋商文件“第三章</w:t>
      </w:r>
      <w:r>
        <w:rPr>
          <w:rFonts w:hint="eastAsia" w:ascii="宋体" w:hAnsi="宋体" w:eastAsia="宋体"/>
          <w:b/>
          <w:color w:val="auto"/>
          <w:sz w:val="21"/>
          <w:szCs w:val="21"/>
          <w:highlight w:val="none"/>
          <w:lang w:eastAsia="zh-CN"/>
        </w:rPr>
        <w:t xml:space="preserve"> 采购项目技术规格、参数及要求</w:t>
      </w:r>
      <w:r>
        <w:rPr>
          <w:rFonts w:hint="eastAsia" w:ascii="宋体" w:hAnsi="宋体" w:eastAsia="宋体"/>
          <w:b/>
          <w:color w:val="auto"/>
          <w:sz w:val="21"/>
          <w:szCs w:val="21"/>
          <w:highlight w:val="none"/>
        </w:rPr>
        <w:t>”，逐条说明所提供货物和服务已对竞争性磋商文件的商务、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做出了实质性的响应，并申明商务、技术条文的响应和偏离。特别对有具体商务、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参数要求的，磋商供应商必须提供对应的详细应答。</w:t>
      </w:r>
    </w:p>
    <w:p w14:paraId="0D9A31CA">
      <w:pPr>
        <w:pStyle w:val="11"/>
        <w:spacing w:line="360" w:lineRule="exact"/>
        <w:rPr>
          <w:rFonts w:hint="eastAsia" w:hAnsi="宋体"/>
          <w:color w:val="auto"/>
          <w:highlight w:val="none"/>
        </w:rPr>
      </w:pPr>
    </w:p>
    <w:p w14:paraId="15FBFAC8">
      <w:pPr>
        <w:pStyle w:val="11"/>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25C8B24A">
      <w:pPr>
        <w:pStyle w:val="11"/>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377C5194">
      <w:pP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EC79FEE">
      <w:pPr>
        <w:snapToGrid w:val="0"/>
        <w:spacing w:before="156" w:beforeLines="50" w:line="380" w:lineRule="exact"/>
        <w:ind w:right="480" w:firstLine="4792" w:firstLineChars="2282"/>
        <w:rPr>
          <w:rFonts w:hint="eastAsia" w:hAnsi="宋体"/>
          <w:color w:val="auto"/>
          <w:highlight w:val="none"/>
          <w:u w:val="single"/>
        </w:rPr>
      </w:pPr>
    </w:p>
    <w:p w14:paraId="40F8D12F">
      <w:pPr>
        <w:spacing w:line="300" w:lineRule="auto"/>
        <w:rPr>
          <w:rFonts w:hint="eastAsia" w:ascii="宋体" w:hAnsi="宋体"/>
          <w:color w:val="auto"/>
          <w:szCs w:val="21"/>
          <w:highlight w:val="none"/>
        </w:rPr>
      </w:pPr>
    </w:p>
    <w:p w14:paraId="434CE101">
      <w:pPr>
        <w:spacing w:line="300" w:lineRule="auto"/>
        <w:rPr>
          <w:rFonts w:hint="eastAsia" w:ascii="宋体" w:hAnsi="宋体"/>
          <w:color w:val="auto"/>
          <w:szCs w:val="21"/>
          <w:highlight w:val="none"/>
        </w:rPr>
      </w:pPr>
    </w:p>
    <w:p w14:paraId="37FC6B7A">
      <w:pP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65B6A12F">
      <w:pP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4C2460AE">
      <w:pPr>
        <w:adjustRightInd w:val="0"/>
        <w:snapToGrid w:val="0"/>
        <w:spacing w:line="520" w:lineRule="exact"/>
        <w:rPr>
          <w:rFonts w:hint="eastAsia" w:ascii="宋体" w:hAnsi="宋体"/>
          <w:color w:val="auto"/>
          <w:szCs w:val="21"/>
          <w:highlight w:val="none"/>
        </w:rPr>
      </w:pPr>
    </w:p>
    <w:p w14:paraId="6557E6F3">
      <w:pPr>
        <w:spacing w:line="520" w:lineRule="exact"/>
        <w:rPr>
          <w:rFonts w:hint="eastAsia" w:ascii="宋体" w:hAnsi="宋体"/>
          <w:color w:val="auto"/>
          <w:szCs w:val="21"/>
          <w:highlight w:val="none"/>
        </w:rPr>
      </w:pPr>
      <w:r>
        <w:rPr>
          <w:rFonts w:hint="eastAsia" w:ascii="宋体" w:hAnsi="宋体"/>
          <w:color w:val="auto"/>
          <w:szCs w:val="21"/>
          <w:highlight w:val="none"/>
          <w:u w:val="single"/>
          <w:lang w:val="en-US" w:eastAsia="zh-CN"/>
        </w:rPr>
        <w:t>广西国力招标有限公司</w:t>
      </w:r>
      <w:r>
        <w:rPr>
          <w:rFonts w:hint="eastAsia" w:ascii="宋体" w:hAnsi="宋体"/>
          <w:color w:val="auto"/>
          <w:szCs w:val="21"/>
          <w:highlight w:val="none"/>
        </w:rPr>
        <w:t>：</w:t>
      </w:r>
    </w:p>
    <w:p w14:paraId="0EF5BF38">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10603FF3">
      <w:pPr>
        <w:spacing w:line="520" w:lineRule="exact"/>
        <w:rPr>
          <w:rFonts w:hint="eastAsia" w:ascii="宋体" w:hAnsi="宋体"/>
          <w:color w:val="auto"/>
          <w:szCs w:val="21"/>
          <w:highlight w:val="none"/>
        </w:rPr>
      </w:pPr>
    </w:p>
    <w:p w14:paraId="6DC88543">
      <w:pP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0F56B6EF">
      <w:pP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4BBF869F">
      <w:pP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E13196">
      <w:pPr>
        <w:spacing w:line="520" w:lineRule="exact"/>
        <w:rPr>
          <w:rFonts w:hint="eastAsia" w:ascii="宋体" w:hAnsi="宋体"/>
          <w:color w:val="auto"/>
          <w:szCs w:val="21"/>
          <w:highlight w:val="none"/>
        </w:rPr>
      </w:pPr>
    </w:p>
    <w:p w14:paraId="5795EBA2">
      <w:pP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29403B15">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2B84D3BE">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1076BCE3">
      <w:pPr>
        <w:adjustRightInd w:val="0"/>
        <w:snapToGrid w:val="0"/>
        <w:spacing w:line="520" w:lineRule="exact"/>
        <w:ind w:firstLine="420" w:firstLineChars="200"/>
        <w:rPr>
          <w:rFonts w:hint="eastAsia" w:ascii="宋体" w:hAnsi="宋体"/>
          <w:color w:val="auto"/>
          <w:szCs w:val="21"/>
          <w:highlight w:val="none"/>
          <w:u w:val="single"/>
        </w:rPr>
      </w:pPr>
    </w:p>
    <w:tbl>
      <w:tblPr>
        <w:tblStyle w:val="1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B6B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05AB0AD4">
            <w:pP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53B494BA">
      <w:pPr>
        <w:autoSpaceDE w:val="0"/>
        <w:autoSpaceDN w:val="0"/>
        <w:spacing w:line="300" w:lineRule="auto"/>
        <w:ind w:left="480" w:hanging="480"/>
        <w:rPr>
          <w:rFonts w:hint="eastAsia" w:ascii="宋体" w:hAnsi="宋体"/>
          <w:color w:val="auto"/>
          <w:szCs w:val="21"/>
          <w:highlight w:val="none"/>
        </w:rPr>
      </w:pPr>
    </w:p>
    <w:p w14:paraId="41E24153">
      <w:pPr>
        <w:autoSpaceDE w:val="0"/>
        <w:autoSpaceDN w:val="0"/>
        <w:spacing w:line="300" w:lineRule="auto"/>
        <w:ind w:left="480" w:hanging="480"/>
        <w:rPr>
          <w:rFonts w:hint="eastAsia" w:ascii="宋体" w:hAnsi="宋体"/>
          <w:color w:val="auto"/>
          <w:szCs w:val="21"/>
          <w:highlight w:val="none"/>
        </w:rPr>
      </w:pPr>
    </w:p>
    <w:p w14:paraId="373C9CD2">
      <w:pPr>
        <w:rPr>
          <w:rFonts w:hint="eastAsia" w:ascii="宋体" w:hAnsi="宋体"/>
          <w:b/>
          <w:color w:val="auto"/>
          <w:szCs w:val="21"/>
          <w:highlight w:val="none"/>
        </w:rPr>
      </w:pPr>
      <w:r>
        <w:rPr>
          <w:rFonts w:hint="eastAsia" w:ascii="宋体" w:hAnsi="宋体"/>
          <w:b/>
          <w:color w:val="auto"/>
          <w:szCs w:val="21"/>
          <w:highlight w:val="none"/>
        </w:rPr>
        <w:br w:type="page"/>
      </w:r>
    </w:p>
    <w:p w14:paraId="5AF7E6D0">
      <w:pPr>
        <w:spacing w:line="5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五</w:t>
      </w:r>
    </w:p>
    <w:p w14:paraId="4D247592">
      <w:pPr>
        <w:spacing w:line="500" w:lineRule="exact"/>
        <w:rPr>
          <w:rFonts w:hint="eastAsia" w:ascii="宋体" w:hAnsi="宋体"/>
          <w:b/>
          <w:color w:val="auto"/>
          <w:szCs w:val="21"/>
          <w:highlight w:val="none"/>
        </w:rPr>
      </w:pPr>
    </w:p>
    <w:p w14:paraId="0F8AC437">
      <w:pPr>
        <w:jc w:val="center"/>
        <w:rPr>
          <w:b/>
          <w:bCs/>
          <w:color w:val="auto"/>
          <w:sz w:val="32"/>
          <w:szCs w:val="32"/>
          <w:highlight w:val="none"/>
        </w:rPr>
      </w:pPr>
      <w:r>
        <w:rPr>
          <w:rFonts w:hint="eastAsia"/>
          <w:b/>
          <w:bCs/>
          <w:color w:val="auto"/>
          <w:sz w:val="32"/>
          <w:szCs w:val="32"/>
          <w:highlight w:val="none"/>
        </w:rPr>
        <w:t>近三年完成的类似项目情况表</w:t>
      </w:r>
    </w:p>
    <w:tbl>
      <w:tblPr>
        <w:tblStyle w:val="19"/>
        <w:tblW w:w="0" w:type="auto"/>
        <w:jc w:val="center"/>
        <w:tblLayout w:type="fixed"/>
        <w:tblCellMar>
          <w:top w:w="0" w:type="dxa"/>
          <w:left w:w="108" w:type="dxa"/>
          <w:bottom w:w="0" w:type="dxa"/>
          <w:right w:w="108" w:type="dxa"/>
        </w:tblCellMar>
      </w:tblPr>
      <w:tblGrid>
        <w:gridCol w:w="2269"/>
        <w:gridCol w:w="6253"/>
      </w:tblGrid>
      <w:tr w14:paraId="7F5E2567">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5104BE0">
            <w:pPr>
              <w:spacing w:line="503" w:lineRule="exact"/>
              <w:ind w:left="713"/>
              <w:rPr>
                <w:color w:val="auto"/>
                <w:sz w:val="21"/>
                <w:szCs w:val="21"/>
                <w:highlight w:val="none"/>
              </w:rPr>
            </w:pPr>
            <w:r>
              <w:rPr>
                <w:rFonts w:ascii="宋体" w:hAnsi="宋体" w:cs="宋体"/>
                <w:color w:val="auto"/>
                <w:spacing w:val="-7"/>
                <w:sz w:val="21"/>
                <w:szCs w:val="21"/>
                <w:highlight w:val="none"/>
              </w:rPr>
              <w:t>项目名称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4F6EE8A">
            <w:pPr>
              <w:spacing w:line="503" w:lineRule="exact"/>
              <w:rPr>
                <w:color w:val="auto"/>
                <w:sz w:val="21"/>
                <w:szCs w:val="21"/>
                <w:highlight w:val="none"/>
              </w:rPr>
            </w:pPr>
          </w:p>
        </w:tc>
      </w:tr>
      <w:tr w14:paraId="6EA08207">
        <w:tblPrEx>
          <w:tblCellMar>
            <w:top w:w="0" w:type="dxa"/>
            <w:left w:w="108" w:type="dxa"/>
            <w:bottom w:w="0" w:type="dxa"/>
            <w:right w:w="108" w:type="dxa"/>
          </w:tblCellMar>
        </w:tblPrEx>
        <w:trPr>
          <w:trHeight w:val="68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7A7F0EE">
            <w:pPr>
              <w:spacing w:line="503" w:lineRule="exact"/>
              <w:ind w:left="607"/>
              <w:rPr>
                <w:color w:val="auto"/>
                <w:sz w:val="21"/>
                <w:szCs w:val="21"/>
                <w:highlight w:val="none"/>
              </w:rPr>
            </w:pPr>
            <w:r>
              <w:rPr>
                <w:rFonts w:ascii="宋体" w:hAnsi="宋体" w:cs="宋体"/>
                <w:color w:val="auto"/>
                <w:spacing w:val="-7"/>
                <w:sz w:val="21"/>
                <w:szCs w:val="21"/>
                <w:highlight w:val="none"/>
              </w:rPr>
              <w:t>项目所在地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B45C046">
            <w:pPr>
              <w:spacing w:line="503" w:lineRule="exact"/>
              <w:rPr>
                <w:color w:val="auto"/>
                <w:sz w:val="21"/>
                <w:szCs w:val="21"/>
                <w:highlight w:val="none"/>
              </w:rPr>
            </w:pPr>
          </w:p>
        </w:tc>
      </w:tr>
      <w:tr w14:paraId="220DD166">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A7A8897">
            <w:pPr>
              <w:spacing w:line="503" w:lineRule="exact"/>
              <w:ind w:left="607"/>
              <w:rPr>
                <w:color w:val="auto"/>
                <w:sz w:val="21"/>
                <w:szCs w:val="21"/>
                <w:highlight w:val="none"/>
              </w:rPr>
            </w:pPr>
            <w:r>
              <w:rPr>
                <w:rFonts w:ascii="宋体" w:hAnsi="宋体" w:cs="宋体"/>
                <w:color w:val="auto"/>
                <w:spacing w:val="-7"/>
                <w:sz w:val="21"/>
                <w:szCs w:val="21"/>
                <w:highlight w:val="none"/>
              </w:rPr>
              <w:t>发包人名称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AD4CED2">
            <w:pPr>
              <w:spacing w:line="503" w:lineRule="exact"/>
              <w:rPr>
                <w:color w:val="auto"/>
                <w:sz w:val="21"/>
                <w:szCs w:val="21"/>
                <w:highlight w:val="none"/>
              </w:rPr>
            </w:pPr>
          </w:p>
        </w:tc>
      </w:tr>
      <w:tr w14:paraId="324BC597">
        <w:tblPrEx>
          <w:tblCellMar>
            <w:top w:w="0" w:type="dxa"/>
            <w:left w:w="108" w:type="dxa"/>
            <w:bottom w:w="0" w:type="dxa"/>
            <w:right w:w="108" w:type="dxa"/>
          </w:tblCellMar>
        </w:tblPrEx>
        <w:trPr>
          <w:trHeight w:val="680"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439741E">
            <w:pPr>
              <w:spacing w:line="503" w:lineRule="exact"/>
              <w:ind w:left="607"/>
              <w:rPr>
                <w:color w:val="auto"/>
                <w:sz w:val="21"/>
                <w:szCs w:val="21"/>
                <w:highlight w:val="none"/>
              </w:rPr>
            </w:pPr>
            <w:r>
              <w:rPr>
                <w:rFonts w:ascii="宋体" w:hAnsi="宋体" w:cs="宋体"/>
                <w:color w:val="auto"/>
                <w:spacing w:val="-7"/>
                <w:sz w:val="21"/>
                <w:szCs w:val="21"/>
                <w:highlight w:val="none"/>
              </w:rPr>
              <w:t>发包人地址</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F7E67FC">
            <w:pPr>
              <w:spacing w:line="503" w:lineRule="exact"/>
              <w:rPr>
                <w:color w:val="auto"/>
                <w:sz w:val="21"/>
                <w:szCs w:val="21"/>
                <w:highlight w:val="none"/>
              </w:rPr>
            </w:pPr>
          </w:p>
        </w:tc>
      </w:tr>
      <w:tr w14:paraId="2BBB23FB">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63C70AD">
            <w:pPr>
              <w:spacing w:line="503" w:lineRule="exact"/>
              <w:ind w:left="713"/>
              <w:rPr>
                <w:color w:val="auto"/>
                <w:sz w:val="21"/>
                <w:szCs w:val="21"/>
                <w:highlight w:val="none"/>
              </w:rPr>
            </w:pPr>
            <w:r>
              <w:rPr>
                <w:rFonts w:ascii="宋体" w:hAnsi="宋体" w:cs="宋体"/>
                <w:color w:val="auto"/>
                <w:spacing w:val="-7"/>
                <w:sz w:val="21"/>
                <w:szCs w:val="21"/>
                <w:highlight w:val="none"/>
              </w:rPr>
              <w:t>合同价格</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EEB78B0">
            <w:pPr>
              <w:spacing w:line="503" w:lineRule="exact"/>
              <w:rPr>
                <w:color w:val="auto"/>
                <w:sz w:val="21"/>
                <w:szCs w:val="21"/>
                <w:highlight w:val="none"/>
              </w:rPr>
            </w:pPr>
          </w:p>
        </w:tc>
      </w:tr>
      <w:tr w14:paraId="754CF73E">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1C23CEE">
            <w:pPr>
              <w:spacing w:line="503" w:lineRule="exact"/>
              <w:ind w:left="504"/>
              <w:rPr>
                <w:color w:val="auto"/>
                <w:sz w:val="21"/>
                <w:szCs w:val="21"/>
                <w:highlight w:val="none"/>
              </w:rPr>
            </w:pPr>
            <w:r>
              <w:rPr>
                <w:rFonts w:ascii="宋体" w:hAnsi="宋体" w:cs="宋体"/>
                <w:color w:val="auto"/>
                <w:spacing w:val="-7"/>
                <w:sz w:val="21"/>
                <w:szCs w:val="21"/>
                <w:highlight w:val="none"/>
              </w:rPr>
              <w:t>设计服务期限</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395C296">
            <w:pPr>
              <w:spacing w:line="503" w:lineRule="exact"/>
              <w:rPr>
                <w:color w:val="auto"/>
                <w:sz w:val="21"/>
                <w:szCs w:val="21"/>
                <w:highlight w:val="none"/>
              </w:rPr>
            </w:pPr>
          </w:p>
        </w:tc>
      </w:tr>
      <w:tr w14:paraId="08FCE20D">
        <w:tblPrEx>
          <w:tblCellMar>
            <w:top w:w="0" w:type="dxa"/>
            <w:left w:w="108" w:type="dxa"/>
            <w:bottom w:w="0" w:type="dxa"/>
            <w:right w:w="108" w:type="dxa"/>
          </w:tblCellMar>
        </w:tblPrEx>
        <w:trPr>
          <w:trHeight w:val="68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40F3F3">
            <w:pPr>
              <w:spacing w:line="503" w:lineRule="exact"/>
              <w:ind w:left="713"/>
              <w:rPr>
                <w:color w:val="auto"/>
                <w:sz w:val="21"/>
                <w:szCs w:val="21"/>
                <w:highlight w:val="none"/>
              </w:rPr>
            </w:pPr>
            <w:r>
              <w:rPr>
                <w:rFonts w:ascii="宋体" w:hAnsi="宋体" w:cs="宋体"/>
                <w:color w:val="auto"/>
                <w:spacing w:val="-7"/>
                <w:sz w:val="21"/>
                <w:szCs w:val="21"/>
                <w:highlight w:val="none"/>
              </w:rPr>
              <w:t>设计内容</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474CE95">
            <w:pPr>
              <w:spacing w:line="503" w:lineRule="exact"/>
              <w:rPr>
                <w:color w:val="auto"/>
                <w:sz w:val="21"/>
                <w:szCs w:val="21"/>
                <w:highlight w:val="none"/>
              </w:rPr>
            </w:pPr>
          </w:p>
        </w:tc>
      </w:tr>
      <w:tr w14:paraId="16E243B1">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40667DC">
            <w:pPr>
              <w:spacing w:line="503" w:lineRule="exact"/>
              <w:ind w:left="607"/>
              <w:rPr>
                <w:color w:val="auto"/>
                <w:sz w:val="21"/>
                <w:szCs w:val="21"/>
                <w:highlight w:val="none"/>
              </w:rPr>
            </w:pPr>
            <w:r>
              <w:rPr>
                <w:rFonts w:ascii="宋体" w:hAnsi="宋体" w:cs="宋体"/>
                <w:color w:val="auto"/>
                <w:spacing w:val="-7"/>
                <w:sz w:val="21"/>
                <w:szCs w:val="21"/>
                <w:highlight w:val="none"/>
              </w:rPr>
              <w:t>项目负责人</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7774175">
            <w:pPr>
              <w:spacing w:line="503" w:lineRule="exact"/>
              <w:rPr>
                <w:color w:val="auto"/>
                <w:sz w:val="21"/>
                <w:szCs w:val="21"/>
                <w:highlight w:val="none"/>
              </w:rPr>
            </w:pPr>
          </w:p>
        </w:tc>
      </w:tr>
      <w:tr w14:paraId="280D5448">
        <w:tblPrEx>
          <w:tblCellMar>
            <w:top w:w="0" w:type="dxa"/>
            <w:left w:w="108" w:type="dxa"/>
            <w:bottom w:w="0" w:type="dxa"/>
            <w:right w:w="108" w:type="dxa"/>
          </w:tblCellMar>
        </w:tblPrEx>
        <w:trPr>
          <w:trHeight w:val="309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77C2453">
            <w:pPr>
              <w:spacing w:line="1707" w:lineRule="exact"/>
              <w:ind w:left="713"/>
              <w:rPr>
                <w:color w:val="auto"/>
                <w:sz w:val="21"/>
                <w:szCs w:val="21"/>
                <w:highlight w:val="none"/>
              </w:rPr>
            </w:pPr>
            <w:r>
              <w:rPr>
                <w:rFonts w:ascii="宋体" w:hAnsi="宋体" w:cs="宋体"/>
                <w:color w:val="auto"/>
                <w:spacing w:val="-7"/>
                <w:sz w:val="21"/>
                <w:szCs w:val="21"/>
                <w:highlight w:val="none"/>
              </w:rPr>
              <w:t>项目</w:t>
            </w:r>
            <w:r>
              <w:rPr>
                <w:rFonts w:hint="eastAsia" w:ascii="宋体" w:hAnsi="宋体" w:cs="宋体"/>
                <w:color w:val="auto"/>
                <w:spacing w:val="-7"/>
                <w:sz w:val="21"/>
                <w:szCs w:val="21"/>
                <w:highlight w:val="none"/>
              </w:rPr>
              <w:t>概况</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2E6EBBD">
            <w:pPr>
              <w:spacing w:line="1707" w:lineRule="exact"/>
              <w:rPr>
                <w:color w:val="auto"/>
                <w:sz w:val="21"/>
                <w:szCs w:val="21"/>
                <w:highlight w:val="none"/>
              </w:rPr>
            </w:pPr>
          </w:p>
        </w:tc>
      </w:tr>
      <w:tr w14:paraId="0BABF130">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0C29990">
            <w:pPr>
              <w:spacing w:line="503" w:lineRule="exact"/>
              <w:ind w:left="924"/>
              <w:rPr>
                <w:color w:val="auto"/>
                <w:sz w:val="21"/>
                <w:szCs w:val="21"/>
                <w:highlight w:val="none"/>
              </w:rPr>
            </w:pPr>
            <w:r>
              <w:rPr>
                <w:rFonts w:ascii="宋体" w:hAnsi="宋体" w:cs="宋体"/>
                <w:color w:val="auto"/>
                <w:spacing w:val="-2"/>
                <w:sz w:val="21"/>
                <w:szCs w:val="21"/>
                <w:highlight w:val="none"/>
              </w:rPr>
              <w:t>备注</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586965E">
            <w:pPr>
              <w:spacing w:line="503" w:lineRule="exact"/>
              <w:rPr>
                <w:color w:val="auto"/>
                <w:sz w:val="21"/>
                <w:szCs w:val="21"/>
                <w:highlight w:val="none"/>
              </w:rPr>
            </w:pPr>
          </w:p>
        </w:tc>
      </w:tr>
    </w:tbl>
    <w:p w14:paraId="489C2DAB">
      <w:pPr>
        <w:spacing w:line="400" w:lineRule="exact"/>
        <w:ind w:firstLine="420" w:firstLineChars="200"/>
        <w:rPr>
          <w:rFonts w:hint="eastAsia"/>
          <w:color w:val="auto"/>
          <w:sz w:val="21"/>
          <w:szCs w:val="21"/>
          <w:highlight w:val="none"/>
        </w:rPr>
      </w:pPr>
      <w:r>
        <w:rPr>
          <w:rFonts w:hint="eastAsia"/>
          <w:color w:val="auto"/>
          <w:sz w:val="21"/>
          <w:szCs w:val="21"/>
          <w:highlight w:val="none"/>
        </w:rPr>
        <w:t>注：附相关证明材料。</w:t>
      </w:r>
    </w:p>
    <w:p w14:paraId="5FD74590">
      <w:pPr>
        <w:snapToGrid w:val="0"/>
        <w:spacing w:line="380" w:lineRule="exact"/>
        <w:ind w:firstLine="411" w:firstLineChars="196"/>
        <w:jc w:val="left"/>
        <w:rPr>
          <w:rFonts w:hint="eastAsia" w:ascii="宋体"/>
          <w:color w:val="auto"/>
          <w:sz w:val="21"/>
          <w:szCs w:val="21"/>
          <w:highlight w:val="none"/>
        </w:rPr>
      </w:pPr>
    </w:p>
    <w:p w14:paraId="0C4A7558">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037D60C6">
      <w:pPr>
        <w:spacing w:line="5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六</w:t>
      </w:r>
    </w:p>
    <w:p w14:paraId="0919D742">
      <w:pPr>
        <w:spacing w:line="500" w:lineRule="exact"/>
        <w:rPr>
          <w:rFonts w:hint="eastAsia" w:ascii="宋体" w:hAnsi="宋体"/>
          <w:b/>
          <w:color w:val="auto"/>
          <w:szCs w:val="21"/>
          <w:highlight w:val="none"/>
        </w:rPr>
      </w:pPr>
    </w:p>
    <w:p w14:paraId="7D99116D">
      <w:pPr>
        <w:jc w:val="center"/>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项目负责人简历表</w:t>
      </w:r>
    </w:p>
    <w:tbl>
      <w:tblPr>
        <w:tblStyle w:val="19"/>
        <w:tblW w:w="4998" w:type="pct"/>
        <w:jc w:val="center"/>
        <w:tblLayout w:type="autofit"/>
        <w:tblCellMar>
          <w:top w:w="0" w:type="dxa"/>
          <w:left w:w="108" w:type="dxa"/>
          <w:bottom w:w="0" w:type="dxa"/>
          <w:right w:w="108" w:type="dxa"/>
        </w:tblCellMar>
      </w:tblPr>
      <w:tblGrid>
        <w:gridCol w:w="1197"/>
        <w:gridCol w:w="360"/>
        <w:gridCol w:w="700"/>
        <w:gridCol w:w="967"/>
        <w:gridCol w:w="1077"/>
        <w:gridCol w:w="712"/>
        <w:gridCol w:w="1272"/>
        <w:gridCol w:w="549"/>
        <w:gridCol w:w="2251"/>
      </w:tblGrid>
      <w:tr w14:paraId="52F72457">
        <w:tblPrEx>
          <w:tblCellMar>
            <w:top w:w="0" w:type="dxa"/>
            <w:left w:w="108" w:type="dxa"/>
            <w:bottom w:w="0" w:type="dxa"/>
            <w:right w:w="108" w:type="dxa"/>
          </w:tblCellMar>
        </w:tblPrEx>
        <w:trPr>
          <w:trHeight w:val="890"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1BC8737">
            <w:pPr>
              <w:spacing w:line="608" w:lineRule="exact"/>
              <w:ind w:left="2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名</w:t>
            </w:r>
          </w:p>
        </w:tc>
        <w:tc>
          <w:tcPr>
            <w:tcW w:w="583"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4C4612">
            <w:pPr>
              <w:spacing w:line="608" w:lineRule="exact"/>
              <w:rPr>
                <w:rFonts w:hint="eastAsia" w:ascii="宋体" w:hAnsi="宋体" w:eastAsia="宋体" w:cs="宋体"/>
                <w:color w:val="auto"/>
                <w:sz w:val="21"/>
                <w:szCs w:val="21"/>
                <w:highlight w:val="none"/>
              </w:rPr>
            </w:pPr>
          </w:p>
        </w:tc>
        <w:tc>
          <w:tcPr>
            <w:tcW w:w="53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859C9C9">
            <w:pPr>
              <w:spacing w:line="608" w:lineRule="exact"/>
              <w:ind w:left="2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年龄</w:t>
            </w:r>
          </w:p>
        </w:tc>
        <w:tc>
          <w:tcPr>
            <w:tcW w:w="5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CFD8217">
            <w:pPr>
              <w:spacing w:line="608"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B4331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执业资格证书</w:t>
            </w:r>
          </w:p>
          <w:p w14:paraId="0861BC0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（或上岗证书）名称</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D995BB">
            <w:pPr>
              <w:spacing w:line="439" w:lineRule="exact"/>
              <w:rPr>
                <w:rFonts w:hint="eastAsia" w:ascii="宋体" w:hAnsi="宋体" w:eastAsia="宋体" w:cs="宋体"/>
                <w:color w:val="auto"/>
                <w:sz w:val="21"/>
                <w:szCs w:val="21"/>
                <w:highlight w:val="none"/>
              </w:rPr>
            </w:pPr>
          </w:p>
        </w:tc>
      </w:tr>
      <w:tr w14:paraId="788E6EF8">
        <w:tblPrEx>
          <w:tblCellMar>
            <w:top w:w="0" w:type="dxa"/>
            <w:left w:w="108" w:type="dxa"/>
            <w:bottom w:w="0" w:type="dxa"/>
            <w:right w:w="108" w:type="dxa"/>
          </w:tblCellMar>
        </w:tblPrEx>
        <w:trPr>
          <w:trHeight w:val="698"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B2614EA">
            <w:pPr>
              <w:spacing w:line="512" w:lineRule="exact"/>
              <w:ind w:left="2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称</w:t>
            </w:r>
          </w:p>
        </w:tc>
        <w:tc>
          <w:tcPr>
            <w:tcW w:w="583"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94F143F">
            <w:pPr>
              <w:spacing w:line="512" w:lineRule="exact"/>
              <w:rPr>
                <w:rFonts w:hint="eastAsia" w:ascii="宋体" w:hAnsi="宋体" w:eastAsia="宋体" w:cs="宋体"/>
                <w:color w:val="auto"/>
                <w:sz w:val="21"/>
                <w:szCs w:val="21"/>
                <w:highlight w:val="none"/>
              </w:rPr>
            </w:pPr>
          </w:p>
        </w:tc>
        <w:tc>
          <w:tcPr>
            <w:tcW w:w="53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C8053A3">
            <w:pPr>
              <w:spacing w:line="512" w:lineRule="exact"/>
              <w:ind w:left="2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学历</w:t>
            </w:r>
          </w:p>
        </w:tc>
        <w:tc>
          <w:tcPr>
            <w:tcW w:w="5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E72A56E">
            <w:pPr>
              <w:spacing w:line="512"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14245FB">
            <w:pPr>
              <w:spacing w:line="51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拟在本项目任职</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977F01">
            <w:pPr>
              <w:spacing w:line="512" w:lineRule="exact"/>
              <w:rPr>
                <w:rFonts w:hint="eastAsia" w:ascii="宋体" w:hAnsi="宋体" w:eastAsia="宋体" w:cs="宋体"/>
                <w:color w:val="auto"/>
                <w:sz w:val="21"/>
                <w:szCs w:val="21"/>
                <w:highlight w:val="none"/>
              </w:rPr>
            </w:pPr>
          </w:p>
        </w:tc>
      </w:tr>
      <w:tr w14:paraId="1FAA434A">
        <w:tblPrEx>
          <w:tblCellMar>
            <w:top w:w="0" w:type="dxa"/>
            <w:left w:w="108" w:type="dxa"/>
            <w:bottom w:w="0" w:type="dxa"/>
            <w:right w:w="108" w:type="dxa"/>
          </w:tblCellMar>
        </w:tblPrEx>
        <w:trPr>
          <w:trHeight w:val="701"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5CCBEC">
            <w:pPr>
              <w:spacing w:line="515"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工作年限</w:t>
            </w:r>
          </w:p>
        </w:tc>
        <w:tc>
          <w:tcPr>
            <w:tcW w:w="1708"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AD7651B">
            <w:pPr>
              <w:spacing w:line="515"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15834AD">
            <w:pPr>
              <w:spacing w:line="515"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从事工作年限</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9C1B06">
            <w:pPr>
              <w:spacing w:line="515" w:lineRule="exact"/>
              <w:rPr>
                <w:rFonts w:hint="eastAsia" w:ascii="宋体" w:hAnsi="宋体" w:eastAsia="宋体" w:cs="宋体"/>
                <w:color w:val="auto"/>
                <w:sz w:val="21"/>
                <w:szCs w:val="21"/>
                <w:highlight w:val="none"/>
              </w:rPr>
            </w:pPr>
          </w:p>
        </w:tc>
      </w:tr>
      <w:tr w14:paraId="0EBA88D6">
        <w:tblPrEx>
          <w:tblCellMar>
            <w:top w:w="0" w:type="dxa"/>
            <w:left w:w="108" w:type="dxa"/>
            <w:bottom w:w="0" w:type="dxa"/>
            <w:right w:w="108" w:type="dxa"/>
          </w:tblCellMar>
        </w:tblPrEx>
        <w:trPr>
          <w:trHeight w:val="710"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B595F0">
            <w:pPr>
              <w:spacing w:line="517"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毕业学校</w:t>
            </w:r>
          </w:p>
        </w:tc>
        <w:tc>
          <w:tcPr>
            <w:tcW w:w="4340" w:type="pct"/>
            <w:gridSpan w:val="8"/>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47E5B2E">
            <w:pPr>
              <w:spacing w:line="517"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年毕业于</w:t>
            </w:r>
            <w:r>
              <w:rPr>
                <w:rFonts w:hint="eastAsia" w:ascii="宋体" w:hAnsi="宋体" w:eastAsia="宋体" w:cs="宋体"/>
                <w:color w:val="auto"/>
                <w:sz w:val="21"/>
                <w:szCs w:val="21"/>
                <w:highlight w:val="none"/>
              </w:rPr>
              <w:t>    </w:t>
            </w:r>
            <w:r>
              <w:rPr>
                <w:rFonts w:hint="eastAsia" w:ascii="宋体" w:hAnsi="宋体" w:eastAsia="宋体" w:cs="宋体"/>
                <w:color w:val="auto"/>
                <w:spacing w:val="-7"/>
                <w:sz w:val="21"/>
                <w:szCs w:val="21"/>
                <w:highlight w:val="none"/>
              </w:rPr>
              <w:t>学校</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专业</w:t>
            </w:r>
          </w:p>
        </w:tc>
      </w:tr>
      <w:tr w14:paraId="1F9BB824">
        <w:tblPrEx>
          <w:tblCellMar>
            <w:top w:w="0" w:type="dxa"/>
            <w:left w:w="108" w:type="dxa"/>
            <w:bottom w:w="0" w:type="dxa"/>
            <w:right w:w="108" w:type="dxa"/>
          </w:tblCellMar>
        </w:tblPrEx>
        <w:trPr>
          <w:trHeight w:val="694" w:hRule="exact"/>
          <w:jc w:val="center"/>
        </w:trPr>
        <w:tc>
          <w:tcPr>
            <w:tcW w:w="5000" w:type="pct"/>
            <w:gridSpan w:val="9"/>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ACF469C">
            <w:pPr>
              <w:spacing w:line="510" w:lineRule="exact"/>
              <w:ind w:left="108"/>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主要工作经历</w:t>
            </w:r>
          </w:p>
        </w:tc>
      </w:tr>
      <w:tr w14:paraId="15530973">
        <w:tblPrEx>
          <w:tblCellMar>
            <w:top w:w="0" w:type="dxa"/>
            <w:left w:w="108" w:type="dxa"/>
            <w:bottom w:w="0" w:type="dxa"/>
            <w:right w:w="108" w:type="dxa"/>
          </w:tblCellMar>
        </w:tblPrEx>
        <w:trPr>
          <w:trHeight w:val="718"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54B66A3">
            <w:pPr>
              <w:spacing w:line="522" w:lineRule="exact"/>
              <w:ind w:left="4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间</w:t>
            </w: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BCEBCA0">
            <w:pPr>
              <w:spacing w:line="522" w:lineRule="exact"/>
              <w:ind w:left="86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参加过的类似项目</w:t>
            </w: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D5144A5">
            <w:pPr>
              <w:spacing w:line="522" w:lineRule="exact"/>
              <w:ind w:left="20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担任职务</w:t>
            </w: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9B22FE">
            <w:pPr>
              <w:spacing w:line="522" w:lineRule="exact"/>
              <w:ind w:left="30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发包人及联系电话</w:t>
            </w:r>
          </w:p>
        </w:tc>
      </w:tr>
      <w:tr w14:paraId="6C929157">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697AA5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188F95F">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182D84">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B4B7E90">
            <w:pPr>
              <w:spacing w:line="522" w:lineRule="exact"/>
              <w:rPr>
                <w:rFonts w:hint="eastAsia" w:ascii="宋体" w:hAnsi="宋体" w:eastAsia="宋体" w:cs="宋体"/>
                <w:color w:val="auto"/>
                <w:sz w:val="21"/>
                <w:szCs w:val="21"/>
                <w:highlight w:val="none"/>
              </w:rPr>
            </w:pPr>
          </w:p>
        </w:tc>
      </w:tr>
      <w:tr w14:paraId="5EB5C4FD">
        <w:tblPrEx>
          <w:tblCellMar>
            <w:top w:w="0" w:type="dxa"/>
            <w:left w:w="108" w:type="dxa"/>
            <w:bottom w:w="0" w:type="dxa"/>
            <w:right w:w="108" w:type="dxa"/>
          </w:tblCellMar>
        </w:tblPrEx>
        <w:trPr>
          <w:trHeight w:val="698"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731EDB3">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3F1CBA5">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C668393">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11F2B7D">
            <w:pPr>
              <w:spacing w:line="522" w:lineRule="exact"/>
              <w:rPr>
                <w:rFonts w:hint="eastAsia" w:ascii="宋体" w:hAnsi="宋体" w:eastAsia="宋体" w:cs="宋体"/>
                <w:color w:val="auto"/>
                <w:sz w:val="21"/>
                <w:szCs w:val="21"/>
                <w:highlight w:val="none"/>
              </w:rPr>
            </w:pPr>
          </w:p>
        </w:tc>
      </w:tr>
      <w:tr w14:paraId="6FD6CEDC">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0E663D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64953EE">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13F42AB">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C78507B">
            <w:pPr>
              <w:spacing w:line="522" w:lineRule="exact"/>
              <w:rPr>
                <w:rFonts w:hint="eastAsia" w:ascii="宋体" w:hAnsi="宋体" w:eastAsia="宋体" w:cs="宋体"/>
                <w:color w:val="auto"/>
                <w:sz w:val="21"/>
                <w:szCs w:val="21"/>
                <w:highlight w:val="none"/>
              </w:rPr>
            </w:pPr>
          </w:p>
        </w:tc>
      </w:tr>
      <w:tr w14:paraId="609F05EF">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40606DB">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53A5B3B">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413F6B5">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F6E8D2F">
            <w:pPr>
              <w:spacing w:line="522" w:lineRule="exact"/>
              <w:rPr>
                <w:rFonts w:hint="eastAsia" w:ascii="宋体" w:hAnsi="宋体" w:eastAsia="宋体" w:cs="宋体"/>
                <w:color w:val="auto"/>
                <w:sz w:val="21"/>
                <w:szCs w:val="21"/>
                <w:highlight w:val="none"/>
              </w:rPr>
            </w:pPr>
          </w:p>
        </w:tc>
      </w:tr>
      <w:tr w14:paraId="4968D623">
        <w:tblPrEx>
          <w:tblCellMar>
            <w:top w:w="0" w:type="dxa"/>
            <w:left w:w="108" w:type="dxa"/>
            <w:bottom w:w="0" w:type="dxa"/>
            <w:right w:w="108" w:type="dxa"/>
          </w:tblCellMar>
        </w:tblPrEx>
        <w:trPr>
          <w:trHeight w:val="699"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AEC90B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45AC50">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159DA5E">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599ED00">
            <w:pPr>
              <w:spacing w:line="522" w:lineRule="exact"/>
              <w:rPr>
                <w:rFonts w:hint="eastAsia" w:ascii="宋体" w:hAnsi="宋体" w:eastAsia="宋体" w:cs="宋体"/>
                <w:color w:val="auto"/>
                <w:sz w:val="21"/>
                <w:szCs w:val="21"/>
                <w:highlight w:val="none"/>
              </w:rPr>
            </w:pPr>
          </w:p>
        </w:tc>
      </w:tr>
      <w:tr w14:paraId="0BE1439A">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D1620F0">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1848A1">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6D8DF7D">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CD38A7C">
            <w:pPr>
              <w:spacing w:line="522" w:lineRule="exact"/>
              <w:rPr>
                <w:rFonts w:hint="eastAsia" w:ascii="宋体" w:hAnsi="宋体" w:eastAsia="宋体" w:cs="宋体"/>
                <w:color w:val="auto"/>
                <w:sz w:val="21"/>
                <w:szCs w:val="21"/>
                <w:highlight w:val="none"/>
              </w:rPr>
            </w:pPr>
          </w:p>
        </w:tc>
      </w:tr>
    </w:tbl>
    <w:p w14:paraId="34455E0B">
      <w:pPr>
        <w:spacing w:before="120" w:beforeLines="50" w:after="240" w:afterLines="100" w:line="440" w:lineRule="exact"/>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注：附相关证明材料。</w:t>
      </w:r>
    </w:p>
    <w:p w14:paraId="03D7C27E">
      <w:pP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br w:type="page"/>
      </w:r>
    </w:p>
    <w:p w14:paraId="06E881D8">
      <w:pPr>
        <w:snapToGrid w:val="0"/>
        <w:spacing w:line="380" w:lineRule="exact"/>
        <w:ind w:firstLine="411" w:firstLineChars="196"/>
        <w:jc w:val="left"/>
        <w:rPr>
          <w:rFonts w:hint="eastAsia" w:ascii="宋体"/>
          <w:color w:val="auto"/>
          <w:sz w:val="21"/>
          <w:szCs w:val="21"/>
          <w:highlight w:val="none"/>
        </w:rPr>
      </w:pPr>
    </w:p>
    <w:p w14:paraId="28E6C263">
      <w:pPr>
        <w:snapToGrid w:val="0"/>
        <w:spacing w:before="156" w:beforeLines="50" w:after="50" w:line="400" w:lineRule="exact"/>
        <w:jc w:val="center"/>
        <w:rPr>
          <w:rFonts w:hint="eastAsia" w:ascii="宋体" w:hAnsi="宋体"/>
          <w:b/>
          <w:color w:val="auto"/>
          <w:kern w:val="0"/>
          <w:sz w:val="32"/>
          <w:szCs w:val="32"/>
          <w:highlight w:val="none"/>
        </w:rPr>
      </w:pPr>
    </w:p>
    <w:p w14:paraId="68B32262">
      <w:pPr>
        <w:spacing w:line="400" w:lineRule="exact"/>
        <w:ind w:left="420" w:hanging="420"/>
        <w:jc w:val="center"/>
        <w:rPr>
          <w:rFonts w:hint="eastAsia" w:ascii="宋体" w:hAnsi="宋体"/>
          <w:b/>
          <w:color w:val="auto"/>
          <w:kern w:val="0"/>
          <w:sz w:val="32"/>
          <w:szCs w:val="32"/>
          <w:highlight w:val="none"/>
        </w:rPr>
      </w:pPr>
    </w:p>
    <w:p w14:paraId="1FD3642E">
      <w:pPr>
        <w:spacing w:line="400" w:lineRule="exact"/>
        <w:ind w:left="420" w:hanging="420"/>
        <w:jc w:val="center"/>
        <w:rPr>
          <w:rFonts w:hint="eastAsia" w:ascii="宋体" w:hAnsi="宋体"/>
          <w:b/>
          <w:color w:val="auto"/>
          <w:kern w:val="0"/>
          <w:sz w:val="32"/>
          <w:szCs w:val="32"/>
          <w:highlight w:val="none"/>
        </w:rPr>
      </w:pPr>
    </w:p>
    <w:p w14:paraId="58EA754E">
      <w:pPr>
        <w:spacing w:line="400" w:lineRule="exact"/>
        <w:ind w:left="420" w:hanging="420"/>
        <w:jc w:val="center"/>
        <w:rPr>
          <w:rFonts w:hint="eastAsia" w:ascii="宋体" w:hAnsi="宋体"/>
          <w:b/>
          <w:color w:val="auto"/>
          <w:kern w:val="0"/>
          <w:sz w:val="32"/>
          <w:szCs w:val="32"/>
          <w:highlight w:val="none"/>
        </w:rPr>
      </w:pPr>
    </w:p>
    <w:p w14:paraId="5B5A1620">
      <w:pPr>
        <w:spacing w:line="400" w:lineRule="exact"/>
        <w:ind w:left="420" w:hanging="420"/>
        <w:jc w:val="center"/>
        <w:rPr>
          <w:rFonts w:hint="eastAsia" w:ascii="宋体" w:hAnsi="宋体"/>
          <w:b/>
          <w:color w:val="auto"/>
          <w:kern w:val="0"/>
          <w:sz w:val="32"/>
          <w:szCs w:val="32"/>
          <w:highlight w:val="none"/>
        </w:rPr>
      </w:pPr>
    </w:p>
    <w:p w14:paraId="4A905D51">
      <w:pPr>
        <w:spacing w:line="400" w:lineRule="exact"/>
        <w:ind w:left="420" w:hanging="420"/>
        <w:jc w:val="center"/>
        <w:rPr>
          <w:rFonts w:hint="eastAsia" w:ascii="宋体" w:hAnsi="宋体"/>
          <w:b/>
          <w:color w:val="auto"/>
          <w:kern w:val="0"/>
          <w:sz w:val="32"/>
          <w:szCs w:val="32"/>
          <w:highlight w:val="none"/>
        </w:rPr>
      </w:pPr>
    </w:p>
    <w:p w14:paraId="1DF50F50">
      <w:pPr>
        <w:spacing w:line="400" w:lineRule="exact"/>
        <w:ind w:left="420" w:hanging="420"/>
        <w:jc w:val="center"/>
        <w:rPr>
          <w:rFonts w:hint="eastAsia" w:ascii="宋体" w:hAnsi="宋体"/>
          <w:b/>
          <w:color w:val="auto"/>
          <w:kern w:val="0"/>
          <w:sz w:val="32"/>
          <w:szCs w:val="32"/>
          <w:highlight w:val="none"/>
        </w:rPr>
      </w:pPr>
    </w:p>
    <w:p w14:paraId="4BD7BC1A">
      <w:pPr>
        <w:spacing w:line="400" w:lineRule="exact"/>
        <w:ind w:left="420" w:hanging="420"/>
        <w:jc w:val="center"/>
        <w:rPr>
          <w:rFonts w:hint="eastAsia" w:ascii="宋体" w:hAnsi="宋体"/>
          <w:b/>
          <w:color w:val="auto"/>
          <w:kern w:val="0"/>
          <w:sz w:val="32"/>
          <w:szCs w:val="32"/>
          <w:highlight w:val="none"/>
        </w:rPr>
      </w:pPr>
    </w:p>
    <w:p w14:paraId="5BE9CC55">
      <w:pPr>
        <w:spacing w:line="400" w:lineRule="exact"/>
        <w:ind w:left="420" w:hanging="420"/>
        <w:jc w:val="center"/>
        <w:rPr>
          <w:rFonts w:hint="eastAsia" w:ascii="宋体" w:hAnsi="宋体"/>
          <w:b/>
          <w:color w:val="auto"/>
          <w:kern w:val="0"/>
          <w:sz w:val="32"/>
          <w:szCs w:val="32"/>
          <w:highlight w:val="none"/>
        </w:rPr>
      </w:pPr>
    </w:p>
    <w:p w14:paraId="1FB85965">
      <w:pPr>
        <w:spacing w:line="400" w:lineRule="exact"/>
        <w:ind w:left="420" w:hanging="420"/>
        <w:jc w:val="center"/>
        <w:rPr>
          <w:rFonts w:hint="eastAsia" w:ascii="宋体" w:hAnsi="宋体"/>
          <w:b/>
          <w:color w:val="auto"/>
          <w:kern w:val="0"/>
          <w:sz w:val="32"/>
          <w:szCs w:val="32"/>
          <w:highlight w:val="none"/>
        </w:rPr>
      </w:pPr>
    </w:p>
    <w:p w14:paraId="144D2A8B">
      <w:pPr>
        <w:spacing w:line="400" w:lineRule="exact"/>
        <w:ind w:left="420" w:hanging="420"/>
        <w:jc w:val="center"/>
        <w:rPr>
          <w:rFonts w:hint="eastAsia" w:ascii="宋体" w:hAnsi="宋体"/>
          <w:b/>
          <w:color w:val="auto"/>
          <w:kern w:val="0"/>
          <w:sz w:val="32"/>
          <w:szCs w:val="32"/>
          <w:highlight w:val="none"/>
        </w:rPr>
      </w:pPr>
    </w:p>
    <w:p w14:paraId="1D9D9AFB">
      <w:pPr>
        <w:spacing w:line="400" w:lineRule="exact"/>
        <w:rPr>
          <w:rFonts w:hint="eastAsia" w:ascii="宋体" w:hAnsi="宋体"/>
          <w:b/>
          <w:color w:val="auto"/>
          <w:kern w:val="0"/>
          <w:sz w:val="32"/>
          <w:szCs w:val="32"/>
          <w:highlight w:val="none"/>
        </w:rPr>
      </w:pPr>
    </w:p>
    <w:p w14:paraId="6364DCA3">
      <w:pPr>
        <w:pStyle w:val="17"/>
        <w:rPr>
          <w:rFonts w:hint="eastAsia"/>
          <w:color w:val="auto"/>
          <w:kern w:val="0"/>
          <w:sz w:val="44"/>
          <w:szCs w:val="44"/>
          <w:highlight w:val="none"/>
        </w:rPr>
      </w:pPr>
      <w:bookmarkStart w:id="89" w:name="_Toc476258760"/>
      <w:bookmarkStart w:id="90" w:name="_Toc476258672"/>
      <w:r>
        <w:rPr>
          <w:rFonts w:hint="eastAsia"/>
          <w:color w:val="auto"/>
          <w:kern w:val="0"/>
          <w:sz w:val="44"/>
          <w:szCs w:val="44"/>
          <w:highlight w:val="none"/>
        </w:rPr>
        <w:t>第五章  合同主要条款</w:t>
      </w:r>
      <w:bookmarkEnd w:id="89"/>
      <w:bookmarkEnd w:id="90"/>
    </w:p>
    <w:p w14:paraId="3DAF83C8">
      <w:pPr>
        <w:jc w:val="left"/>
        <w:rPr>
          <w:rFonts w:hint="eastAsia" w:ascii="宋体" w:hAnsi="宋体" w:cs="@方正仿宋简体"/>
          <w:color w:val="auto"/>
          <w:kern w:val="0"/>
          <w:szCs w:val="21"/>
          <w:highlight w:val="none"/>
        </w:rPr>
      </w:pPr>
    </w:p>
    <w:p w14:paraId="7C8F834A">
      <w:pPr>
        <w:spacing w:line="360" w:lineRule="auto"/>
        <w:ind w:firstLine="420" w:firstLineChars="200"/>
        <w:rPr>
          <w:rFonts w:ascii="宋体" w:hAnsi="宋体" w:eastAsia="宋体" w:cs="Times New Roman"/>
          <w:color w:val="auto"/>
          <w:sz w:val="24"/>
          <w:szCs w:val="24"/>
          <w:highlight w:val="none"/>
        </w:rPr>
      </w:pPr>
      <w:r>
        <w:rPr>
          <w:rFonts w:ascii="宋体" w:hAnsi="宋体" w:cs="@方正仿宋简体"/>
          <w:color w:val="auto"/>
          <w:kern w:val="0"/>
          <w:szCs w:val="21"/>
          <w:highlight w:val="none"/>
        </w:rPr>
        <w:br w:type="page"/>
      </w:r>
    </w:p>
    <w:p w14:paraId="3F3234CC">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2F26AABD">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695371D3">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26665270">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5A811BF0">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46BDA69A">
      <w:pPr>
        <w:widowControl/>
        <w:kinsoku w:val="0"/>
        <w:autoSpaceDE w:val="0"/>
        <w:autoSpaceDN w:val="0"/>
        <w:adjustRightInd w:val="0"/>
        <w:snapToGrid w:val="0"/>
        <w:spacing w:before="198" w:line="225" w:lineRule="auto"/>
        <w:jc w:val="center"/>
        <w:textAlignment w:val="baseline"/>
        <w:rPr>
          <w:rFonts w:hint="eastAsia" w:ascii="宋体" w:hAnsi="宋体" w:eastAsia="宋体" w:cs="宋体"/>
          <w:snapToGrid w:val="0"/>
          <w:color w:val="auto"/>
          <w:kern w:val="0"/>
          <w:sz w:val="35"/>
          <w:szCs w:val="35"/>
          <w:highlight w:val="none"/>
          <w:lang w:eastAsia="zh-CN"/>
        </w:rPr>
      </w:pPr>
      <w:r>
        <w:rPr>
          <w:rFonts w:ascii="宋体" w:hAnsi="宋体" w:eastAsia="宋体" w:cs="宋体"/>
          <w:b/>
          <w:bCs/>
          <w:snapToGrid w:val="0"/>
          <w:color w:val="auto"/>
          <w:spacing w:val="7"/>
          <w:kern w:val="0"/>
          <w:sz w:val="35"/>
          <w:szCs w:val="35"/>
          <w:highlight w:val="none"/>
          <w:lang w:eastAsia="en-US"/>
        </w:rPr>
        <w:t>项目名称：</w:t>
      </w:r>
      <w:r>
        <w:rPr>
          <w:rFonts w:hint="eastAsia" w:ascii="宋体" w:hAnsi="宋体" w:cs="宋体"/>
          <w:b/>
          <w:bCs/>
          <w:snapToGrid w:val="0"/>
          <w:color w:val="auto"/>
          <w:spacing w:val="7"/>
          <w:kern w:val="0"/>
          <w:sz w:val="35"/>
          <w:szCs w:val="35"/>
          <w:highlight w:val="none"/>
          <w:lang w:eastAsia="zh-CN"/>
        </w:rPr>
        <w:t>广西财经学院明秀校区总平规划调整和修建性详细规划项目（重）</w:t>
      </w:r>
    </w:p>
    <w:p w14:paraId="26C70AD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1F9C588E">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756A127E">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69ECE8CB">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2A6E215D">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3010164">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9E5B71A">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0AEF5302">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E0B176C">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794C2A6">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3E630E6F">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2A0B33F7">
      <w:pPr>
        <w:widowControl/>
        <w:kinsoku w:val="0"/>
        <w:autoSpaceDE w:val="0"/>
        <w:autoSpaceDN w:val="0"/>
        <w:adjustRightInd w:val="0"/>
        <w:snapToGrid w:val="0"/>
        <w:spacing w:before="231" w:line="221" w:lineRule="auto"/>
        <w:ind w:left="2671"/>
        <w:jc w:val="left"/>
        <w:textAlignment w:val="baseline"/>
        <w:rPr>
          <w:rFonts w:ascii="宋体" w:hAnsi="宋体" w:eastAsia="宋体" w:cs="宋体"/>
          <w:snapToGrid w:val="0"/>
          <w:color w:val="auto"/>
          <w:kern w:val="0"/>
          <w:sz w:val="71"/>
          <w:szCs w:val="71"/>
          <w:highlight w:val="none"/>
          <w:lang w:eastAsia="en-US"/>
        </w:rPr>
      </w:pPr>
      <w:r>
        <w:rPr>
          <w:rFonts w:ascii="宋体" w:hAnsi="宋体" w:eastAsia="宋体" w:cs="宋体"/>
          <w:b/>
          <w:bCs/>
          <w:snapToGrid w:val="0"/>
          <w:color w:val="auto"/>
          <w:kern w:val="0"/>
          <w:sz w:val="71"/>
          <w:szCs w:val="71"/>
          <w:highlight w:val="none"/>
          <w:lang w:eastAsia="en-US"/>
        </w:rPr>
        <w:t>采</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购</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合</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同</w:t>
      </w:r>
    </w:p>
    <w:p w14:paraId="25ED88DD">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val="en-US" w:eastAsia="en-US" w:bidi="ar-SA"/>
        </w:rPr>
      </w:pPr>
    </w:p>
    <w:p w14:paraId="16B55D5B">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val="en-US" w:eastAsia="en-US" w:bidi="ar-SA"/>
        </w:rPr>
      </w:pPr>
    </w:p>
    <w:p w14:paraId="6F2BAB7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FDAB1A7">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3928C7A3">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54695A58">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63A15F15">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26881D48">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723E2ED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BDD832B">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428915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0B5DF91C">
      <w:pPr>
        <w:widowControl/>
        <w:kinsoku w:val="0"/>
        <w:autoSpaceDE w:val="0"/>
        <w:autoSpaceDN w:val="0"/>
        <w:adjustRightInd w:val="0"/>
        <w:snapToGrid w:val="0"/>
        <w:spacing w:before="91" w:line="221" w:lineRule="auto"/>
        <w:ind w:left="1867"/>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9"/>
          <w:kern w:val="0"/>
          <w:sz w:val="28"/>
          <w:szCs w:val="28"/>
          <w:highlight w:val="none"/>
          <w:lang w:eastAsia="en-US"/>
        </w:rPr>
        <w:t>甲方：</w:t>
      </w:r>
      <w:r>
        <w:rPr>
          <w:rFonts w:hint="eastAsia" w:ascii="宋体" w:hAnsi="宋体" w:eastAsia="宋体" w:cs="宋体"/>
          <w:b/>
          <w:bCs/>
          <w:snapToGrid w:val="0"/>
          <w:color w:val="auto"/>
          <w:spacing w:val="-19"/>
          <w:kern w:val="0"/>
          <w:sz w:val="28"/>
          <w:szCs w:val="28"/>
          <w:highlight w:val="none"/>
          <w:lang w:eastAsia="zh-CN"/>
        </w:rPr>
        <w:t>广西财经学院</w:t>
      </w:r>
    </w:p>
    <w:p w14:paraId="752CBAB4">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48CD5A9E">
      <w:pPr>
        <w:widowControl/>
        <w:kinsoku w:val="0"/>
        <w:autoSpaceDE w:val="0"/>
        <w:autoSpaceDN w:val="0"/>
        <w:adjustRightInd w:val="0"/>
        <w:snapToGrid w:val="0"/>
        <w:spacing w:before="91" w:line="221" w:lineRule="auto"/>
        <w:ind w:left="1866"/>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6"/>
          <w:kern w:val="0"/>
          <w:sz w:val="28"/>
          <w:szCs w:val="28"/>
          <w:highlight w:val="none"/>
          <w:lang w:eastAsia="en-US"/>
        </w:rPr>
        <w:t>乙方：</w:t>
      </w:r>
    </w:p>
    <w:p w14:paraId="47F2B202">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462A0D2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6DE4D6F6">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51410FE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444C9BA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13DE27BA">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380E0128">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5AEB52FC">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610A7CF1">
      <w:pPr>
        <w:widowControl/>
        <w:kinsoku w:val="0"/>
        <w:autoSpaceDE w:val="0"/>
        <w:autoSpaceDN w:val="0"/>
        <w:adjustRightInd w:val="0"/>
        <w:snapToGrid w:val="0"/>
        <w:spacing w:before="91" w:line="220" w:lineRule="auto"/>
        <w:ind w:left="3216"/>
        <w:jc w:val="left"/>
        <w:textAlignment w:val="baseline"/>
        <w:rPr>
          <w:rFonts w:ascii="宋体" w:hAnsi="宋体" w:eastAsia="宋体" w:cs="宋体"/>
          <w:snapToGrid w:val="0"/>
          <w:color w:val="auto"/>
          <w:kern w:val="0"/>
          <w:sz w:val="28"/>
          <w:szCs w:val="28"/>
          <w:highlight w:val="none"/>
          <w:lang w:eastAsia="en-US"/>
        </w:rPr>
      </w:pPr>
      <w:r>
        <w:rPr>
          <w:rFonts w:hint="eastAsia" w:ascii="宋体" w:hAnsi="宋体" w:eastAsia="宋体" w:cs="宋体"/>
          <w:b/>
          <w:bCs/>
          <w:snapToGrid w:val="0"/>
          <w:color w:val="auto"/>
          <w:spacing w:val="-12"/>
          <w:kern w:val="0"/>
          <w:sz w:val="28"/>
          <w:szCs w:val="28"/>
          <w:highlight w:val="none"/>
          <w:lang w:val="en-US" w:eastAsia="zh-CN"/>
        </w:rPr>
        <w:t xml:space="preserve">二〇二五 </w:t>
      </w:r>
      <w:r>
        <w:rPr>
          <w:rFonts w:ascii="宋体" w:hAnsi="宋体" w:eastAsia="宋体" w:cs="宋体"/>
          <w:b/>
          <w:bCs/>
          <w:snapToGrid w:val="0"/>
          <w:color w:val="auto"/>
          <w:spacing w:val="-12"/>
          <w:kern w:val="0"/>
          <w:sz w:val="28"/>
          <w:szCs w:val="28"/>
          <w:highlight w:val="none"/>
          <w:lang w:eastAsia="en-US"/>
        </w:rPr>
        <w:t>年</w:t>
      </w:r>
      <w:r>
        <w:rPr>
          <w:rFonts w:hint="eastAsia" w:ascii="宋体" w:hAnsi="宋体" w:eastAsia="宋体" w:cs="宋体"/>
          <w:snapToGrid w:val="0"/>
          <w:color w:val="auto"/>
          <w:spacing w:val="5"/>
          <w:kern w:val="0"/>
          <w:sz w:val="28"/>
          <w:szCs w:val="28"/>
          <w:highlight w:val="none"/>
          <w:lang w:val="en-US" w:eastAsia="zh-CN"/>
        </w:rPr>
        <w:t xml:space="preserve">    </w:t>
      </w:r>
      <w:r>
        <w:rPr>
          <w:rFonts w:ascii="宋体" w:hAnsi="宋体" w:eastAsia="宋体" w:cs="宋体"/>
          <w:b/>
          <w:bCs/>
          <w:snapToGrid w:val="0"/>
          <w:color w:val="auto"/>
          <w:spacing w:val="-12"/>
          <w:kern w:val="0"/>
          <w:sz w:val="28"/>
          <w:szCs w:val="28"/>
          <w:highlight w:val="none"/>
          <w:lang w:eastAsia="en-US"/>
        </w:rPr>
        <w:t>月</w:t>
      </w:r>
      <w:r>
        <w:rPr>
          <w:rFonts w:hint="eastAsia" w:ascii="宋体" w:hAnsi="宋体" w:eastAsia="宋体" w:cs="宋体"/>
          <w:snapToGrid w:val="0"/>
          <w:color w:val="auto"/>
          <w:spacing w:val="15"/>
          <w:kern w:val="0"/>
          <w:sz w:val="28"/>
          <w:szCs w:val="28"/>
          <w:highlight w:val="none"/>
          <w:lang w:val="en-US" w:eastAsia="zh-CN"/>
        </w:rPr>
        <w:t xml:space="preserve">   </w:t>
      </w:r>
      <w:r>
        <w:rPr>
          <w:rFonts w:ascii="宋体" w:hAnsi="宋体" w:eastAsia="宋体" w:cs="宋体"/>
          <w:b/>
          <w:bCs/>
          <w:snapToGrid w:val="0"/>
          <w:color w:val="auto"/>
          <w:spacing w:val="-12"/>
          <w:kern w:val="0"/>
          <w:sz w:val="28"/>
          <w:szCs w:val="28"/>
          <w:highlight w:val="none"/>
          <w:lang w:eastAsia="en-US"/>
        </w:rPr>
        <w:t>日</w:t>
      </w:r>
    </w:p>
    <w:p w14:paraId="52055606">
      <w:pPr>
        <w:spacing w:line="220" w:lineRule="auto"/>
        <w:rPr>
          <w:rFonts w:ascii="宋体" w:hAnsi="宋体" w:eastAsia="宋体" w:cs="宋体"/>
          <w:color w:val="auto"/>
          <w:sz w:val="28"/>
          <w:szCs w:val="28"/>
          <w:highlight w:val="none"/>
        </w:rPr>
        <w:sectPr>
          <w:footerReference r:id="rId4" w:type="default"/>
          <w:pgSz w:w="11906" w:h="16839"/>
          <w:pgMar w:top="1366" w:right="1416" w:bottom="1151" w:left="1417" w:header="829" w:footer="989" w:gutter="0"/>
          <w:pgNumType w:fmt="decimal" w:start="1"/>
          <w:cols w:space="720" w:num="1"/>
        </w:sectPr>
      </w:pPr>
    </w:p>
    <w:p w14:paraId="40FFEDAE">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500" w:lineRule="exact"/>
        <w:ind w:left="0"/>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17"/>
          <w:kern w:val="0"/>
          <w:sz w:val="31"/>
          <w:szCs w:val="31"/>
          <w:highlight w:val="none"/>
          <w:lang w:eastAsia="en-US"/>
        </w:rPr>
        <w:t>合</w:t>
      </w:r>
      <w:r>
        <w:rPr>
          <w:rFonts w:ascii="宋体" w:hAnsi="宋体" w:eastAsia="宋体" w:cs="宋体"/>
          <w:snapToGrid w:val="0"/>
          <w:color w:val="auto"/>
          <w:spacing w:val="52"/>
          <w:kern w:val="0"/>
          <w:sz w:val="31"/>
          <w:szCs w:val="31"/>
          <w:highlight w:val="none"/>
          <w:lang w:eastAsia="en-US"/>
        </w:rPr>
        <w:t xml:space="preserve"> </w:t>
      </w:r>
      <w:r>
        <w:rPr>
          <w:rFonts w:ascii="宋体" w:hAnsi="宋体" w:eastAsia="宋体" w:cs="宋体"/>
          <w:b/>
          <w:bCs/>
          <w:snapToGrid w:val="0"/>
          <w:color w:val="auto"/>
          <w:spacing w:val="-17"/>
          <w:kern w:val="0"/>
          <w:sz w:val="31"/>
          <w:szCs w:val="31"/>
          <w:highlight w:val="none"/>
          <w:lang w:eastAsia="en-US"/>
        </w:rPr>
        <w:t>同</w:t>
      </w:r>
      <w:r>
        <w:rPr>
          <w:rFonts w:ascii="宋体" w:hAnsi="宋体" w:eastAsia="宋体" w:cs="宋体"/>
          <w:snapToGrid w:val="0"/>
          <w:color w:val="auto"/>
          <w:spacing w:val="28"/>
          <w:kern w:val="0"/>
          <w:sz w:val="31"/>
          <w:szCs w:val="31"/>
          <w:highlight w:val="none"/>
          <w:lang w:eastAsia="en-US"/>
        </w:rPr>
        <w:t xml:space="preserve"> </w:t>
      </w:r>
      <w:r>
        <w:rPr>
          <w:rFonts w:ascii="宋体" w:hAnsi="宋体" w:eastAsia="宋体" w:cs="宋体"/>
          <w:b/>
          <w:bCs/>
          <w:snapToGrid w:val="0"/>
          <w:color w:val="auto"/>
          <w:spacing w:val="-17"/>
          <w:kern w:val="0"/>
          <w:sz w:val="31"/>
          <w:szCs w:val="31"/>
          <w:highlight w:val="none"/>
          <w:lang w:eastAsia="en-US"/>
        </w:rPr>
        <w:t>书</w:t>
      </w:r>
    </w:p>
    <w:p w14:paraId="7B57CC57">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5"/>
          <w:kern w:val="0"/>
          <w:sz w:val="21"/>
          <w:szCs w:val="21"/>
          <w:highlight w:val="none"/>
          <w:lang w:eastAsia="en-US"/>
        </w:rPr>
        <w:t>甲方：</w:t>
      </w:r>
      <w:r>
        <w:rPr>
          <w:rFonts w:hint="eastAsia" w:ascii="宋体" w:hAnsi="宋体" w:eastAsia="宋体" w:cs="宋体"/>
          <w:b/>
          <w:bCs/>
          <w:snapToGrid w:val="0"/>
          <w:color w:val="auto"/>
          <w:spacing w:val="-5"/>
          <w:kern w:val="0"/>
          <w:sz w:val="21"/>
          <w:szCs w:val="21"/>
          <w:highlight w:val="none"/>
          <w:u w:val="single" w:color="auto"/>
          <w:lang w:eastAsia="zh-CN"/>
        </w:rPr>
        <w:t>广西财经学院</w:t>
      </w:r>
      <w:r>
        <w:rPr>
          <w:rFonts w:ascii="宋体" w:hAnsi="宋体" w:eastAsia="宋体" w:cs="宋体"/>
          <w:snapToGrid w:val="0"/>
          <w:color w:val="auto"/>
          <w:kern w:val="0"/>
          <w:sz w:val="21"/>
          <w:szCs w:val="21"/>
          <w:highlight w:val="none"/>
          <w:u w:val="single" w:color="auto"/>
          <w:lang w:eastAsia="en-US"/>
        </w:rPr>
        <w:t xml:space="preserve">                                      </w:t>
      </w:r>
    </w:p>
    <w:p w14:paraId="3F4F7B33">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6"/>
          <w:kern w:val="0"/>
          <w:sz w:val="21"/>
          <w:szCs w:val="21"/>
          <w:highlight w:val="none"/>
          <w:lang w:eastAsia="en-US"/>
        </w:rPr>
        <w:t>乙方：</w:t>
      </w:r>
      <w:r>
        <w:rPr>
          <w:rFonts w:ascii="宋体" w:hAnsi="宋体" w:eastAsia="宋体" w:cs="宋体"/>
          <w:snapToGrid w:val="0"/>
          <w:color w:val="auto"/>
          <w:spacing w:val="-6"/>
          <w:kern w:val="0"/>
          <w:sz w:val="21"/>
          <w:szCs w:val="21"/>
          <w:highlight w:val="none"/>
          <w:u w:val="single" w:color="auto"/>
          <w:lang w:eastAsia="en-US"/>
        </w:rPr>
        <w:t xml:space="preserve">                      </w:t>
      </w:r>
      <w:r>
        <w:rPr>
          <w:rFonts w:ascii="宋体" w:hAnsi="宋体" w:eastAsia="宋体" w:cs="宋体"/>
          <w:snapToGrid w:val="0"/>
          <w:color w:val="auto"/>
          <w:spacing w:val="-7"/>
          <w:kern w:val="0"/>
          <w:sz w:val="21"/>
          <w:szCs w:val="21"/>
          <w:highlight w:val="none"/>
          <w:u w:val="single" w:color="auto"/>
          <w:lang w:eastAsia="en-US"/>
        </w:rPr>
        <w:t xml:space="preserve">                                  </w:t>
      </w:r>
    </w:p>
    <w:p w14:paraId="2443C060">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4"/>
          <w:kern w:val="0"/>
          <w:sz w:val="21"/>
          <w:szCs w:val="21"/>
          <w:highlight w:val="none"/>
          <w:lang w:eastAsia="en-US"/>
        </w:rPr>
        <w:t>甲方委托乙方承担</w:t>
      </w:r>
      <w:r>
        <w:rPr>
          <w:rFonts w:hint="eastAsia" w:ascii="宋体" w:hAnsi="宋体" w:cs="宋体"/>
          <w:b/>
          <w:bCs/>
          <w:snapToGrid w:val="0"/>
          <w:color w:val="auto"/>
          <w:spacing w:val="-4"/>
          <w:kern w:val="0"/>
          <w:sz w:val="21"/>
          <w:szCs w:val="21"/>
          <w:highlight w:val="none"/>
          <w:u w:val="single" w:color="auto"/>
          <w:lang w:eastAsia="zh-CN"/>
        </w:rPr>
        <w:t>广西财经学院明秀校区总平规划调整和修建性详细规划项目（重）</w:t>
      </w:r>
      <w:r>
        <w:rPr>
          <w:rFonts w:ascii="宋体" w:hAnsi="宋体" w:eastAsia="宋体" w:cs="宋体"/>
          <w:snapToGrid w:val="0"/>
          <w:color w:val="auto"/>
          <w:spacing w:val="-1"/>
          <w:kern w:val="0"/>
          <w:sz w:val="21"/>
          <w:szCs w:val="21"/>
          <w:highlight w:val="none"/>
          <w:lang w:eastAsia="en-US"/>
        </w:rPr>
        <w:t>编制，双方本着平等互利、真诚合作的原则，经友好协商，签订本合同，</w:t>
      </w:r>
    </w:p>
    <w:p w14:paraId="1F287CBF">
      <w:pPr>
        <w:keepNext w:val="0"/>
        <w:keepLines w:val="0"/>
        <w:pageBreakBefore w:val="0"/>
        <w:widowControl/>
        <w:kinsoku w:val="0"/>
        <w:wordWrap/>
        <w:overflowPunct/>
        <w:topLinePunct w:val="0"/>
        <w:autoSpaceDE w:val="0"/>
        <w:autoSpaceDN w:val="0"/>
        <w:bidi w:val="0"/>
        <w:adjustRightInd/>
        <w:snapToGrid/>
        <w:spacing w:line="480" w:lineRule="exact"/>
        <w:ind w:left="0" w:right="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2"/>
          <w:kern w:val="0"/>
          <w:sz w:val="21"/>
          <w:szCs w:val="21"/>
          <w:highlight w:val="none"/>
          <w:lang w:eastAsia="en-US"/>
        </w:rPr>
        <w:t>共同执行。</w:t>
      </w:r>
    </w:p>
    <w:p w14:paraId="372F5AD6">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第一条</w:t>
      </w:r>
      <w:r>
        <w:rPr>
          <w:rFonts w:ascii="宋体" w:hAnsi="宋体" w:eastAsia="宋体" w:cs="宋体"/>
          <w:snapToGrid w:val="0"/>
          <w:color w:val="auto"/>
          <w:spacing w:val="-3"/>
          <w:kern w:val="0"/>
          <w:sz w:val="21"/>
          <w:szCs w:val="21"/>
          <w:highlight w:val="none"/>
          <w:lang w:eastAsia="en-US"/>
        </w:rPr>
        <w:t xml:space="preserve"> </w:t>
      </w:r>
      <w:r>
        <w:rPr>
          <w:rFonts w:ascii="宋体" w:hAnsi="宋体" w:eastAsia="宋体" w:cs="宋体"/>
          <w:b/>
          <w:bCs/>
          <w:snapToGrid w:val="0"/>
          <w:color w:val="auto"/>
          <w:spacing w:val="-3"/>
          <w:kern w:val="0"/>
          <w:sz w:val="21"/>
          <w:szCs w:val="21"/>
          <w:highlight w:val="none"/>
          <w:lang w:eastAsia="en-US"/>
        </w:rPr>
        <w:t>本合同签订依据</w:t>
      </w:r>
    </w:p>
    <w:p w14:paraId="12320A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1.1 《中华人民共和国民法典》《中华人民共和国城乡规划法》《中华人民共和国土地管理法》等现行有效的相关法律法规。</w:t>
      </w:r>
    </w:p>
    <w:p w14:paraId="6A5E19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 国家及地方有关规划设计管理法规和规章。</w:t>
      </w:r>
    </w:p>
    <w:p w14:paraId="4F6530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 规划项目批准文件。</w:t>
      </w:r>
    </w:p>
    <w:p w14:paraId="6C682D2E">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第二条 设计依据</w:t>
      </w:r>
    </w:p>
    <w:p w14:paraId="4E208D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2.1 甲方提交的基础资料。</w:t>
      </w:r>
    </w:p>
    <w:p w14:paraId="1B6DE2F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2.2 乙方采用的主要技术标准是（但不仅限于此）：</w:t>
      </w:r>
    </w:p>
    <w:p w14:paraId="1FCF18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lang w:eastAsia="en-US"/>
        </w:rPr>
        <w:t>《中华人民共和国城乡规划法》；</w:t>
      </w:r>
    </w:p>
    <w:p w14:paraId="4ED14E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ascii="宋体" w:hAnsi="宋体"/>
          <w:color w:val="auto"/>
          <w:highlight w:val="none"/>
          <w:lang w:eastAsia="en-US"/>
        </w:rPr>
        <w:t>《城市规划编制办法》；</w:t>
      </w:r>
    </w:p>
    <w:p w14:paraId="41ACCF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lang w:eastAsia="zh-CN"/>
        </w:rPr>
        <w:t>）</w:t>
      </w:r>
      <w:r>
        <w:rPr>
          <w:rFonts w:hint="eastAsia" w:ascii="宋体" w:hAnsi="宋体"/>
          <w:color w:val="auto"/>
          <w:highlight w:val="none"/>
          <w:lang w:eastAsia="en-US"/>
        </w:rPr>
        <w:t>国家现行有效的其他相关的法律、法规及省（自治区）层级的地方性法规和地方政府规章。</w:t>
      </w:r>
    </w:p>
    <w:p w14:paraId="5039C60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第三条 合同文件的优先次序</w:t>
      </w:r>
    </w:p>
    <w:p w14:paraId="14A99F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构成本合同的文件可视为是能互相说明的，如果合同文件存在歧义或不一致，则根据如下优先次序来判断：</w:t>
      </w:r>
    </w:p>
    <w:p w14:paraId="6CC04A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3.1 合同书。</w:t>
      </w:r>
    </w:p>
    <w:p w14:paraId="0557BE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3.2 中标函（文件）。</w:t>
      </w:r>
    </w:p>
    <w:p w14:paraId="4D41B8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3.3 甲方书面要求及委托书。</w:t>
      </w:r>
    </w:p>
    <w:p w14:paraId="6E1624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3.4 来往函件。</w:t>
      </w:r>
    </w:p>
    <w:p w14:paraId="5E94EDF9">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第四条 本合同项目的名称、规模、</w:t>
      </w:r>
      <w:r>
        <w:rPr>
          <w:rFonts w:hint="eastAsia" w:ascii="宋体" w:hAnsi="宋体" w:cs="宋体"/>
          <w:b/>
          <w:bCs/>
          <w:snapToGrid w:val="0"/>
          <w:color w:val="auto"/>
          <w:spacing w:val="-3"/>
          <w:kern w:val="0"/>
          <w:sz w:val="21"/>
          <w:szCs w:val="21"/>
          <w:highlight w:val="none"/>
          <w:lang w:val="en-US" w:eastAsia="zh-CN"/>
        </w:rPr>
        <w:t>服务内容</w:t>
      </w:r>
    </w:p>
    <w:p w14:paraId="67B05B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项目名称：</w:t>
      </w:r>
      <w:r>
        <w:rPr>
          <w:rFonts w:hint="eastAsia" w:ascii="宋体" w:hAnsi="宋体"/>
          <w:color w:val="auto"/>
          <w:highlight w:val="none"/>
          <w:lang w:eastAsia="zh-CN"/>
        </w:rPr>
        <w:t>广西财经学院明秀校区总平规划调整和修建性详细规划项目（重）</w:t>
      </w:r>
      <w:r>
        <w:rPr>
          <w:rFonts w:hint="eastAsia" w:ascii="宋体" w:hAnsi="宋体"/>
          <w:color w:val="auto"/>
          <w:highlight w:val="none"/>
          <w:lang w:eastAsia="en-US"/>
        </w:rPr>
        <w:t xml:space="preserve">  </w:t>
      </w:r>
    </w:p>
    <w:p w14:paraId="0CE39D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项目所在地：</w:t>
      </w:r>
      <w:r>
        <w:rPr>
          <w:rFonts w:hint="eastAsia" w:ascii="宋体" w:hAnsi="宋体"/>
          <w:color w:val="auto"/>
          <w:highlight w:val="none"/>
          <w:lang w:val="en-US" w:eastAsia="zh-CN"/>
        </w:rPr>
        <w:t>南宁市</w:t>
      </w:r>
      <w:r>
        <w:rPr>
          <w:rFonts w:hint="eastAsia" w:ascii="宋体" w:hAnsi="宋体"/>
          <w:color w:val="auto"/>
          <w:highlight w:val="none"/>
          <w:lang w:eastAsia="en-US"/>
        </w:rPr>
        <w:t xml:space="preserve"> </w:t>
      </w:r>
    </w:p>
    <w:p w14:paraId="1776EF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服务范围</w:t>
      </w:r>
      <w:r>
        <w:rPr>
          <w:rFonts w:hint="eastAsia" w:ascii="宋体" w:hAnsi="宋体"/>
          <w:color w:val="auto"/>
          <w:highlight w:val="none"/>
          <w:lang w:eastAsia="en-US"/>
        </w:rPr>
        <w:t>：</w:t>
      </w:r>
    </w:p>
    <w:p w14:paraId="53B7A3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（1）</w:t>
      </w:r>
      <w:r>
        <w:rPr>
          <w:rFonts w:hint="eastAsia" w:ascii="宋体" w:hAnsi="宋体"/>
          <w:color w:val="auto"/>
          <w:highlight w:val="none"/>
          <w:lang w:eastAsia="en-US"/>
        </w:rPr>
        <w:t>总平规划调整方案设计</w:t>
      </w:r>
      <w:r>
        <w:rPr>
          <w:rFonts w:hint="eastAsia" w:ascii="宋体" w:hAnsi="宋体"/>
          <w:color w:val="auto"/>
          <w:highlight w:val="none"/>
          <w:lang w:eastAsia="zh-CN"/>
        </w:rPr>
        <w:t>：</w:t>
      </w:r>
      <w:r>
        <w:rPr>
          <w:rFonts w:hint="eastAsia" w:ascii="宋体" w:hAnsi="宋体"/>
          <w:color w:val="auto"/>
          <w:highlight w:val="none"/>
          <w:lang w:eastAsia="en-US"/>
        </w:rPr>
        <w:t>现状调研与综合评估、功能分区优化与空间布局、交通组织与竖向设计、主要设施规划。</w:t>
      </w:r>
    </w:p>
    <w:p w14:paraId="56EF2E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（2）</w:t>
      </w:r>
      <w:r>
        <w:rPr>
          <w:rFonts w:hint="eastAsia" w:ascii="宋体" w:hAnsi="宋体"/>
          <w:color w:val="auto"/>
          <w:highlight w:val="none"/>
          <w:lang w:eastAsia="en-US"/>
        </w:rPr>
        <w:t>修建性详细规划编制</w:t>
      </w:r>
      <w:r>
        <w:rPr>
          <w:rFonts w:hint="eastAsia" w:ascii="宋体" w:hAnsi="宋体"/>
          <w:color w:val="auto"/>
          <w:highlight w:val="none"/>
          <w:lang w:eastAsia="zh-CN"/>
        </w:rPr>
        <w:t>：</w:t>
      </w:r>
      <w:r>
        <w:rPr>
          <w:rFonts w:hint="eastAsia" w:ascii="宋体" w:hAnsi="宋体"/>
          <w:color w:val="auto"/>
          <w:highlight w:val="none"/>
          <w:lang w:eastAsia="en-US"/>
        </w:rPr>
        <w:t>建筑布局与管控、建筑改造与更新设计、基础设施专项规划（道路工程、管线综合规划）、景观系统方案设计、经济技术指标复核与平衡、分期建设规划。</w:t>
      </w:r>
    </w:p>
    <w:p w14:paraId="4CE515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建设规模</w:t>
      </w:r>
      <w:r>
        <w:rPr>
          <w:rFonts w:hint="eastAsia" w:ascii="宋体" w:hAnsi="宋体"/>
          <w:color w:val="auto"/>
          <w:highlight w:val="none"/>
          <w:lang w:eastAsia="en-US"/>
        </w:rPr>
        <w:t>：总建筑面积约23.1万㎡。</w:t>
      </w:r>
    </w:p>
    <w:p w14:paraId="032825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深度</w:t>
      </w:r>
      <w:r>
        <w:rPr>
          <w:rFonts w:hint="eastAsia" w:ascii="宋体" w:hAnsi="宋体"/>
          <w:color w:val="auto"/>
          <w:highlight w:val="none"/>
          <w:lang w:eastAsia="en-US"/>
        </w:rPr>
        <w:t>要求：必须达到国家和地方关于总平面规划调整及修建性详细规划编制的相关深度规定，能够支撑后续的工程方案设计、初步设计和施工图设计，并满足规划主管部门的审批要求。</w:t>
      </w:r>
    </w:p>
    <w:p w14:paraId="67C990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服务</w:t>
      </w:r>
      <w:r>
        <w:rPr>
          <w:rFonts w:hint="eastAsia" w:ascii="宋体" w:hAnsi="宋体"/>
          <w:color w:val="auto"/>
          <w:highlight w:val="none"/>
          <w:lang w:eastAsia="en-US"/>
        </w:rPr>
        <w:t>要求：</w:t>
      </w:r>
    </w:p>
    <w:p w14:paraId="1850E6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（1）充分沟通：成交单位需与校方（基建中心、使用部门等）建立高效沟通机制，进行多轮方案汇报、讨论和修改完善。</w:t>
      </w:r>
    </w:p>
    <w:p w14:paraId="731FAF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（2）现场踏勘：必须进行详细、深入的现场踏勘，并与校方管理人员、技术人员充分交流。</w:t>
      </w:r>
    </w:p>
    <w:p w14:paraId="7FBD47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（3）专家评审：积极配合校方要求组织的专家评审会，并根据评审意见修改完善成果。</w:t>
      </w:r>
    </w:p>
    <w:p w14:paraId="21A78F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（4）报批配合：负责规划成果向相关政府主管部门（自然资源与规划局等）报批所需的汇报、解释、修改等工作，直至获得正式批复文件。</w:t>
      </w:r>
    </w:p>
    <w:p w14:paraId="344B46E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第五条 甲方向乙方提交的有关资料、文件及时间</w:t>
      </w:r>
    </w:p>
    <w:tbl>
      <w:tblPr>
        <w:tblStyle w:val="33"/>
        <w:tblW w:w="50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87"/>
        <w:gridCol w:w="3113"/>
        <w:gridCol w:w="947"/>
        <w:gridCol w:w="2778"/>
        <w:gridCol w:w="1475"/>
      </w:tblGrid>
      <w:tr w14:paraId="1270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4EA66E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序号</w:t>
            </w:r>
          </w:p>
        </w:tc>
        <w:tc>
          <w:tcPr>
            <w:tcW w:w="1710" w:type="pct"/>
            <w:vAlign w:val="center"/>
          </w:tcPr>
          <w:p w14:paraId="2973C4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资料及文件名称</w:t>
            </w:r>
          </w:p>
        </w:tc>
        <w:tc>
          <w:tcPr>
            <w:tcW w:w="520" w:type="pct"/>
            <w:vAlign w:val="center"/>
          </w:tcPr>
          <w:p w14:paraId="65EC432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份数</w:t>
            </w:r>
          </w:p>
        </w:tc>
        <w:tc>
          <w:tcPr>
            <w:tcW w:w="1526" w:type="pct"/>
            <w:vAlign w:val="center"/>
          </w:tcPr>
          <w:p w14:paraId="774E025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提交日期</w:t>
            </w:r>
          </w:p>
        </w:tc>
        <w:tc>
          <w:tcPr>
            <w:tcW w:w="810" w:type="pct"/>
            <w:vAlign w:val="center"/>
          </w:tcPr>
          <w:p w14:paraId="3EA2CCD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有关事宜</w:t>
            </w:r>
          </w:p>
        </w:tc>
      </w:tr>
      <w:tr w14:paraId="1C13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173DDB6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w:t>
            </w:r>
          </w:p>
        </w:tc>
        <w:tc>
          <w:tcPr>
            <w:tcW w:w="1710" w:type="pct"/>
            <w:vAlign w:val="center"/>
          </w:tcPr>
          <w:p w14:paraId="4EEEBE8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14D532F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024B96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0ABB89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r>
      <w:tr w14:paraId="6075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0A8F97C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w:t>
            </w:r>
          </w:p>
        </w:tc>
        <w:tc>
          <w:tcPr>
            <w:tcW w:w="1710" w:type="pct"/>
            <w:vAlign w:val="center"/>
          </w:tcPr>
          <w:p w14:paraId="6A951E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7251277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3F47A2E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57A1CDD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eastAsia="en-US"/>
              </w:rPr>
            </w:pPr>
          </w:p>
        </w:tc>
      </w:tr>
      <w:tr w14:paraId="3672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7DE3FF5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说明</w:t>
            </w:r>
          </w:p>
        </w:tc>
        <w:tc>
          <w:tcPr>
            <w:tcW w:w="4566" w:type="pct"/>
            <w:gridSpan w:val="4"/>
            <w:vAlign w:val="center"/>
          </w:tcPr>
          <w:p w14:paraId="7B2E607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项目编制过程中如有需要补充收集的资料，则在工作过程中补充增加。</w:t>
            </w:r>
          </w:p>
        </w:tc>
      </w:tr>
    </w:tbl>
    <w:p w14:paraId="0393E0A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第六条 乙方向甲方交付的</w:t>
      </w:r>
      <w:r>
        <w:rPr>
          <w:rFonts w:hint="eastAsia" w:ascii="宋体" w:hAnsi="宋体" w:cs="宋体"/>
          <w:b/>
          <w:bCs/>
          <w:snapToGrid w:val="0"/>
          <w:color w:val="auto"/>
          <w:spacing w:val="-3"/>
          <w:kern w:val="0"/>
          <w:sz w:val="21"/>
          <w:szCs w:val="21"/>
          <w:highlight w:val="none"/>
          <w:lang w:eastAsia="zh-CN"/>
        </w:rPr>
        <w:t>成果文件</w:t>
      </w:r>
      <w:r>
        <w:rPr>
          <w:rFonts w:ascii="宋体" w:hAnsi="宋体" w:eastAsia="宋体" w:cs="宋体"/>
          <w:b/>
          <w:bCs/>
          <w:snapToGrid w:val="0"/>
          <w:color w:val="auto"/>
          <w:spacing w:val="-3"/>
          <w:kern w:val="0"/>
          <w:sz w:val="21"/>
          <w:szCs w:val="21"/>
          <w:highlight w:val="none"/>
          <w:lang w:eastAsia="en-US"/>
        </w:rPr>
        <w:t>、份数、地点及时间</w:t>
      </w:r>
    </w:p>
    <w:tbl>
      <w:tblPr>
        <w:tblStyle w:val="33"/>
        <w:tblW w:w="50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87"/>
        <w:gridCol w:w="3113"/>
        <w:gridCol w:w="947"/>
        <w:gridCol w:w="2778"/>
        <w:gridCol w:w="1475"/>
      </w:tblGrid>
      <w:tr w14:paraId="5139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3B30E61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序号</w:t>
            </w:r>
          </w:p>
        </w:tc>
        <w:tc>
          <w:tcPr>
            <w:tcW w:w="1710" w:type="pct"/>
            <w:vAlign w:val="center"/>
          </w:tcPr>
          <w:p w14:paraId="0A70AC8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资料及文件名称</w:t>
            </w:r>
          </w:p>
        </w:tc>
        <w:tc>
          <w:tcPr>
            <w:tcW w:w="520" w:type="pct"/>
            <w:vAlign w:val="center"/>
          </w:tcPr>
          <w:p w14:paraId="0EE2FB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份数</w:t>
            </w:r>
          </w:p>
        </w:tc>
        <w:tc>
          <w:tcPr>
            <w:tcW w:w="1526" w:type="pct"/>
            <w:vAlign w:val="center"/>
          </w:tcPr>
          <w:p w14:paraId="72F2A74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提交日期</w:t>
            </w:r>
          </w:p>
        </w:tc>
        <w:tc>
          <w:tcPr>
            <w:tcW w:w="810" w:type="pct"/>
            <w:vAlign w:val="center"/>
          </w:tcPr>
          <w:p w14:paraId="225EAB4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有关事宜</w:t>
            </w:r>
          </w:p>
        </w:tc>
      </w:tr>
      <w:tr w14:paraId="3130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1F63F4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w:t>
            </w:r>
          </w:p>
        </w:tc>
        <w:tc>
          <w:tcPr>
            <w:tcW w:w="1710" w:type="pct"/>
            <w:vAlign w:val="center"/>
          </w:tcPr>
          <w:p w14:paraId="490401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2EF39B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16F407E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049742E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r>
      <w:tr w14:paraId="039E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72880E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w:t>
            </w:r>
          </w:p>
        </w:tc>
        <w:tc>
          <w:tcPr>
            <w:tcW w:w="1710" w:type="pct"/>
            <w:vAlign w:val="center"/>
          </w:tcPr>
          <w:p w14:paraId="15301A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63669A6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4533ED8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13E3AA6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eastAsia="en-US"/>
              </w:rPr>
            </w:pPr>
          </w:p>
        </w:tc>
      </w:tr>
      <w:tr w14:paraId="100B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015859A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说明</w:t>
            </w:r>
          </w:p>
        </w:tc>
        <w:tc>
          <w:tcPr>
            <w:tcW w:w="4566" w:type="pct"/>
            <w:gridSpan w:val="4"/>
            <w:vAlign w:val="center"/>
          </w:tcPr>
          <w:p w14:paraId="2BA25B27">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1.各阶段成果实际提交日期以甲方与乙方协商日期为主，由于甲方原因使项目进度延缓或者停止，则乙方交付成果时间相应顺延。</w:t>
            </w:r>
          </w:p>
          <w:p w14:paraId="3A59C329">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2.完成期限原则上以甲方提交完整的资料之日开始起算。</w:t>
            </w:r>
          </w:p>
        </w:tc>
      </w:tr>
    </w:tbl>
    <w:p w14:paraId="729F2E6F">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第七条 费用支付方式（实际合同签订费用以最终磋商结果为准）</w:t>
      </w:r>
    </w:p>
    <w:p w14:paraId="281627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本合同总费用为人民币</w:t>
      </w:r>
      <w:r>
        <w:rPr>
          <w:rFonts w:hint="eastAsia" w:ascii="宋体" w:hAnsi="宋体"/>
          <w:color w:val="auto"/>
          <w:highlight w:val="none"/>
          <w:lang w:val="en-US" w:eastAsia="zh-CN"/>
        </w:rPr>
        <w:t xml:space="preserve">                    </w:t>
      </w:r>
      <w:r>
        <w:rPr>
          <w:rFonts w:hint="eastAsia" w:ascii="宋体" w:hAnsi="宋体"/>
          <w:color w:val="auto"/>
          <w:highlight w:val="none"/>
          <w:lang w:eastAsia="en-US"/>
        </w:rPr>
        <w:t>元 (¥</w:t>
      </w:r>
      <w:r>
        <w:rPr>
          <w:rFonts w:hint="eastAsia" w:ascii="宋体" w:hAnsi="宋体"/>
          <w:color w:val="auto"/>
          <w:highlight w:val="none"/>
          <w:lang w:val="en-US" w:eastAsia="zh-CN"/>
        </w:rPr>
        <w:t xml:space="preserve">             </w:t>
      </w:r>
      <w:r>
        <w:rPr>
          <w:rFonts w:hint="eastAsia" w:ascii="宋体" w:hAnsi="宋体"/>
          <w:color w:val="auto"/>
          <w:highlight w:val="none"/>
          <w:lang w:eastAsia="en-US"/>
        </w:rPr>
        <w:t>）。</w:t>
      </w:r>
    </w:p>
    <w:p w14:paraId="3FD0D5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1.提交合格成果并通过学校审核支付合同款项的30%</w:t>
      </w:r>
      <w:r>
        <w:rPr>
          <w:rFonts w:hint="eastAsia" w:ascii="宋体" w:hAnsi="宋体"/>
          <w:color w:val="auto"/>
          <w:highlight w:val="none"/>
          <w:lang w:eastAsia="zh-CN"/>
        </w:rPr>
        <w:t>，</w:t>
      </w:r>
      <w:r>
        <w:rPr>
          <w:rFonts w:hint="eastAsia" w:ascii="宋体" w:hAnsi="宋体"/>
          <w:color w:val="auto"/>
          <w:highlight w:val="none"/>
          <w:lang w:val="en-US" w:eastAsia="zh-CN"/>
        </w:rPr>
        <w:t>即人民币       元 (¥             ）</w:t>
      </w:r>
      <w:r>
        <w:rPr>
          <w:rFonts w:hint="eastAsia" w:ascii="宋体" w:hAnsi="宋体"/>
          <w:color w:val="auto"/>
          <w:highlight w:val="none"/>
          <w:lang w:eastAsia="en-US"/>
        </w:rPr>
        <w:t>；</w:t>
      </w:r>
    </w:p>
    <w:p w14:paraId="3C39B5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2.获得政府规划主管部门正式批复支付合同款项的30%</w:t>
      </w:r>
      <w:r>
        <w:rPr>
          <w:rFonts w:hint="eastAsia" w:ascii="宋体" w:hAnsi="宋体"/>
          <w:color w:val="auto"/>
          <w:highlight w:val="none"/>
          <w:lang w:eastAsia="zh-CN"/>
        </w:rPr>
        <w:t>，即人民币     元 (¥             ）</w:t>
      </w:r>
      <w:r>
        <w:rPr>
          <w:rFonts w:hint="eastAsia" w:ascii="宋体" w:hAnsi="宋体"/>
          <w:color w:val="auto"/>
          <w:highlight w:val="none"/>
          <w:lang w:eastAsia="en-US"/>
        </w:rPr>
        <w:t>；</w:t>
      </w:r>
    </w:p>
    <w:p w14:paraId="3938EB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3.施工结束或者获得获得政府规划主管部门正式批复后48个月支付合同款项的40%</w:t>
      </w:r>
      <w:r>
        <w:rPr>
          <w:rFonts w:hint="eastAsia" w:ascii="宋体" w:hAnsi="宋体"/>
          <w:color w:val="auto"/>
          <w:highlight w:val="none"/>
          <w:lang w:eastAsia="zh-CN"/>
        </w:rPr>
        <w:t>，即人民币元 (¥             ）</w:t>
      </w:r>
      <w:r>
        <w:rPr>
          <w:rFonts w:hint="eastAsia" w:ascii="宋体" w:hAnsi="宋体"/>
          <w:color w:val="auto"/>
          <w:highlight w:val="none"/>
          <w:lang w:eastAsia="en-US"/>
        </w:rPr>
        <w:t>。</w:t>
      </w:r>
    </w:p>
    <w:p w14:paraId="3D28A856">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第八条 双方责任</w:t>
      </w:r>
    </w:p>
    <w:p w14:paraId="127B72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 甲方责任</w:t>
      </w:r>
    </w:p>
    <w:p w14:paraId="226450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8.1.1 甲方按本合同第五条规定的内容，在规定的时间内向乙方提交基础资料及文件，并对其完整性、正确性及有效性负责。甲方不得要求乙方违反国家有关标准进行设计。</w:t>
      </w:r>
    </w:p>
    <w:p w14:paraId="5C8C04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甲方提交上述资料及文件超过规定期限 10 天以内，乙方按本合同第六条规定的交付</w:t>
      </w:r>
      <w:r>
        <w:rPr>
          <w:rFonts w:hint="eastAsia" w:ascii="宋体" w:hAnsi="宋体"/>
          <w:color w:val="auto"/>
          <w:highlight w:val="none"/>
          <w:lang w:eastAsia="zh-CN"/>
        </w:rPr>
        <w:t>成果文件</w:t>
      </w:r>
      <w:r>
        <w:rPr>
          <w:rFonts w:hint="eastAsia" w:ascii="宋体" w:hAnsi="宋体"/>
          <w:color w:val="auto"/>
          <w:highlight w:val="none"/>
          <w:lang w:eastAsia="en-US"/>
        </w:rPr>
        <w:t>时间顺延；甲方交付上述资料及文件超过规定期限 10 天以上时，乙方有权重新确定提交</w:t>
      </w:r>
      <w:r>
        <w:rPr>
          <w:rFonts w:hint="eastAsia" w:ascii="宋体" w:hAnsi="宋体"/>
          <w:color w:val="auto"/>
          <w:highlight w:val="none"/>
          <w:lang w:eastAsia="zh-CN"/>
        </w:rPr>
        <w:t>成果文件</w:t>
      </w:r>
      <w:r>
        <w:rPr>
          <w:rFonts w:hint="eastAsia" w:ascii="宋体" w:hAnsi="宋体"/>
          <w:color w:val="auto"/>
          <w:highlight w:val="none"/>
          <w:lang w:eastAsia="en-US"/>
        </w:rPr>
        <w:t>的时间。</w:t>
      </w:r>
    </w:p>
    <w:p w14:paraId="142F66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8.1.2 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14:paraId="512A94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8.1.3 在合同履行期间，甲方要求终止或解除合同，乙方未开始设计工作的，不退还甲方已付的预付款；已开始设计工作的，甲方应根据乙方已进行的实际工作量，不足一半时，商议支付该阶段设计费；超过一半时，甲方应按照本合同第七条、第八条支付设计费。</w:t>
      </w:r>
    </w:p>
    <w:p w14:paraId="295D80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8.1.4 甲方要求乙方比合同规定时间提前交付</w:t>
      </w:r>
      <w:r>
        <w:rPr>
          <w:rFonts w:hint="eastAsia" w:ascii="宋体" w:hAnsi="宋体"/>
          <w:color w:val="auto"/>
          <w:highlight w:val="none"/>
          <w:lang w:eastAsia="zh-CN"/>
        </w:rPr>
        <w:t>成果文件</w:t>
      </w:r>
      <w:r>
        <w:rPr>
          <w:rFonts w:hint="eastAsia" w:ascii="宋体" w:hAnsi="宋体"/>
          <w:color w:val="auto"/>
          <w:highlight w:val="none"/>
          <w:lang w:eastAsia="en-US"/>
        </w:rPr>
        <w:t>时，须征得乙方同意，不得严重背离合理设计周期，且甲方应支付赶工费。</w:t>
      </w:r>
    </w:p>
    <w:p w14:paraId="4BE87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 乙方责任</w:t>
      </w:r>
    </w:p>
    <w:p w14:paraId="7E347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8.2.1 乙方应按国家规定和合同约定的技术规范、标准进行设计，按本合同第六条规定的内容、时间及份数向甲方交付</w:t>
      </w:r>
      <w:r>
        <w:rPr>
          <w:rFonts w:hint="eastAsia" w:ascii="宋体" w:hAnsi="宋体"/>
          <w:color w:val="auto"/>
          <w:highlight w:val="none"/>
          <w:lang w:eastAsia="zh-CN"/>
        </w:rPr>
        <w:t>成果文件</w:t>
      </w:r>
      <w:r>
        <w:rPr>
          <w:rFonts w:hint="eastAsia" w:ascii="宋体" w:hAnsi="宋体"/>
          <w:color w:val="auto"/>
          <w:highlight w:val="none"/>
          <w:lang w:eastAsia="en-US"/>
        </w:rPr>
        <w:t>，并对提交的</w:t>
      </w:r>
      <w:r>
        <w:rPr>
          <w:rFonts w:hint="eastAsia" w:ascii="宋体" w:hAnsi="宋体"/>
          <w:color w:val="auto"/>
          <w:highlight w:val="none"/>
          <w:lang w:eastAsia="zh-CN"/>
        </w:rPr>
        <w:t>成果文件</w:t>
      </w:r>
      <w:r>
        <w:rPr>
          <w:rFonts w:hint="eastAsia" w:ascii="宋体" w:hAnsi="宋体"/>
          <w:color w:val="auto"/>
          <w:highlight w:val="none"/>
          <w:lang w:eastAsia="en-US"/>
        </w:rPr>
        <w:t>的质量负责。乙方指派</w:t>
      </w:r>
      <w:r>
        <w:rPr>
          <w:rFonts w:hint="eastAsia" w:ascii="宋体" w:hAnsi="宋体"/>
          <w:color w:val="auto"/>
          <w:highlight w:val="none"/>
          <w:u w:val="single"/>
          <w:lang w:eastAsia="en-US"/>
        </w:rPr>
        <w:t xml:space="preserve">      </w:t>
      </w:r>
      <w:r>
        <w:rPr>
          <w:rFonts w:hint="eastAsia" w:ascii="宋体" w:hAnsi="宋体"/>
          <w:color w:val="auto"/>
          <w:highlight w:val="none"/>
          <w:lang w:eastAsia="en-US"/>
        </w:rPr>
        <w:t>担任本项目的负责人。乙方更改本项目负责人的，应书面征求甲方同意。</w:t>
      </w:r>
    </w:p>
    <w:p w14:paraId="619110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8.2.2 乙方对规划</w:t>
      </w:r>
      <w:r>
        <w:rPr>
          <w:rFonts w:hint="eastAsia" w:ascii="宋体" w:hAnsi="宋体"/>
          <w:color w:val="auto"/>
          <w:highlight w:val="none"/>
          <w:lang w:eastAsia="zh-CN"/>
        </w:rPr>
        <w:t>成果文件</w:t>
      </w:r>
      <w:r>
        <w:rPr>
          <w:rFonts w:hint="eastAsia" w:ascii="宋体" w:hAnsi="宋体"/>
          <w:color w:val="auto"/>
          <w:highlight w:val="none"/>
          <w:lang w:eastAsia="en-US"/>
        </w:rPr>
        <w:t>在规划编制过程期间出现的遗漏或错误负责修改或补充，修改和补充的时间视为乙方逾期交付</w:t>
      </w:r>
      <w:r>
        <w:rPr>
          <w:rFonts w:hint="eastAsia" w:ascii="宋体" w:hAnsi="宋体"/>
          <w:color w:val="auto"/>
          <w:highlight w:val="none"/>
          <w:lang w:eastAsia="zh-CN"/>
        </w:rPr>
        <w:t>成果文件</w:t>
      </w:r>
      <w:r>
        <w:rPr>
          <w:rFonts w:hint="eastAsia" w:ascii="宋体" w:hAnsi="宋体"/>
          <w:color w:val="auto"/>
          <w:highlight w:val="none"/>
          <w:lang w:eastAsia="en-US"/>
        </w:rPr>
        <w:t>的时间，按本合同第九条第9.1 款承担违约责任。</w:t>
      </w:r>
    </w:p>
    <w:p w14:paraId="26175D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8.2.3 合同生效后，乙方因自身单方原因无故要求终止或解除合同，乙方应返还甲方已支付的</w:t>
      </w:r>
      <w:r>
        <w:rPr>
          <w:rFonts w:hint="eastAsia" w:ascii="宋体" w:hAnsi="宋体"/>
          <w:color w:val="auto"/>
          <w:highlight w:val="none"/>
          <w:lang w:val="en-US" w:eastAsia="zh-CN"/>
        </w:rPr>
        <w:t>合同</w:t>
      </w:r>
      <w:r>
        <w:rPr>
          <w:rFonts w:hint="eastAsia" w:ascii="宋体" w:hAnsi="宋体"/>
          <w:color w:val="auto"/>
          <w:highlight w:val="none"/>
          <w:lang w:eastAsia="en-US"/>
        </w:rPr>
        <w:t>款并向甲方支付合同总价款10%的违约金。</w:t>
      </w:r>
    </w:p>
    <w:p w14:paraId="3B1E74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8.2.4 乙方交付</w:t>
      </w:r>
      <w:r>
        <w:rPr>
          <w:rFonts w:hint="eastAsia" w:ascii="宋体" w:hAnsi="宋体"/>
          <w:color w:val="auto"/>
          <w:highlight w:val="none"/>
          <w:lang w:eastAsia="zh-CN"/>
        </w:rPr>
        <w:t>成果文件</w:t>
      </w:r>
      <w:r>
        <w:rPr>
          <w:rFonts w:hint="eastAsia" w:ascii="宋体" w:hAnsi="宋体"/>
          <w:color w:val="auto"/>
          <w:highlight w:val="none"/>
          <w:lang w:eastAsia="en-US"/>
        </w:rPr>
        <w:t>后，按规定参加有关上级的设计审查，并根据审查结论负责不超出原定范围的内容做必要调整补充</w:t>
      </w:r>
    </w:p>
    <w:p w14:paraId="4C4DE9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8.2.4 质量保证期</w:t>
      </w:r>
      <w:r>
        <w:rPr>
          <w:rFonts w:hint="eastAsia" w:ascii="宋体" w:hAnsi="宋体"/>
          <w:color w:val="auto"/>
          <w:highlight w:val="none"/>
          <w:u w:val="single"/>
          <w:lang w:eastAsia="en-US"/>
        </w:rPr>
        <w:t xml:space="preserve"> 1 </w:t>
      </w:r>
      <w:r>
        <w:rPr>
          <w:rFonts w:hint="eastAsia" w:ascii="宋体" w:hAnsi="宋体"/>
          <w:color w:val="auto"/>
          <w:highlight w:val="none"/>
          <w:lang w:eastAsia="en-US"/>
        </w:rPr>
        <w:t>年（自最终成果交付之日起计）。乙方接到甲方处理问题通知后</w:t>
      </w:r>
      <w:r>
        <w:rPr>
          <w:rFonts w:hint="eastAsia" w:ascii="宋体" w:hAnsi="宋体"/>
          <w:color w:val="auto"/>
          <w:highlight w:val="none"/>
          <w:u w:val="single"/>
          <w:lang w:eastAsia="en-US"/>
        </w:rPr>
        <w:t xml:space="preserve"> 24 </w:t>
      </w:r>
      <w:r>
        <w:rPr>
          <w:rFonts w:hint="eastAsia" w:ascii="宋体" w:hAnsi="宋体"/>
          <w:color w:val="auto"/>
          <w:highlight w:val="none"/>
          <w:lang w:eastAsia="en-US"/>
        </w:rPr>
        <w:t>小时内到达指定现场开展工作。</w:t>
      </w:r>
    </w:p>
    <w:p w14:paraId="1CB7F59D">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第九条 违约责任</w:t>
      </w:r>
    </w:p>
    <w:p w14:paraId="5780D5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9.1 由于乙方原因，未能按本合同规定的内容、时间及相关要求向甲方交付</w:t>
      </w:r>
      <w:r>
        <w:rPr>
          <w:rFonts w:hint="eastAsia" w:ascii="宋体" w:hAnsi="宋体"/>
          <w:color w:val="auto"/>
          <w:highlight w:val="none"/>
          <w:lang w:eastAsia="zh-CN"/>
        </w:rPr>
        <w:t>成果文件</w:t>
      </w:r>
      <w:r>
        <w:rPr>
          <w:rFonts w:hint="eastAsia" w:ascii="宋体" w:hAnsi="宋体"/>
          <w:color w:val="auto"/>
          <w:highlight w:val="none"/>
          <w:lang w:eastAsia="en-US"/>
        </w:rPr>
        <w:t>或未在期限内完成规划编制工作的，每逾期交付一天，乙方按合同总费用的千分之二向甲方支付违约金，逾期超过</w:t>
      </w:r>
      <w:r>
        <w:rPr>
          <w:rFonts w:hint="eastAsia" w:ascii="宋体" w:hAnsi="宋体"/>
          <w:color w:val="auto"/>
          <w:highlight w:val="none"/>
          <w:u w:val="single"/>
          <w:lang w:eastAsia="en-US"/>
        </w:rPr>
        <w:t xml:space="preserve"> 1</w:t>
      </w:r>
      <w:r>
        <w:rPr>
          <w:rFonts w:hint="eastAsia" w:ascii="宋体" w:hAnsi="宋体"/>
          <w:color w:val="auto"/>
          <w:highlight w:val="none"/>
          <w:u w:val="single"/>
          <w:lang w:val="en-US" w:eastAsia="zh-CN"/>
        </w:rPr>
        <w:t>0</w:t>
      </w:r>
      <w:r>
        <w:rPr>
          <w:rFonts w:hint="eastAsia" w:ascii="宋体" w:hAnsi="宋体"/>
          <w:color w:val="auto"/>
          <w:highlight w:val="none"/>
          <w:u w:val="single"/>
          <w:lang w:eastAsia="en-US"/>
        </w:rPr>
        <w:t xml:space="preserve"> </w:t>
      </w:r>
      <w:r>
        <w:rPr>
          <w:rFonts w:hint="eastAsia" w:ascii="宋体" w:hAnsi="宋体"/>
          <w:color w:val="auto"/>
          <w:highlight w:val="none"/>
          <w:lang w:eastAsia="en-US"/>
        </w:rPr>
        <w:t>日的，甲方有权解除合同，并要求乙方支付合同总价款</w:t>
      </w:r>
      <w:r>
        <w:rPr>
          <w:rFonts w:hint="eastAsia" w:ascii="宋体" w:hAnsi="宋体"/>
          <w:color w:val="auto"/>
          <w:highlight w:val="none"/>
          <w:u w:val="single"/>
          <w:lang w:eastAsia="en-US"/>
        </w:rPr>
        <w:t xml:space="preserve"> 10%</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的违约金。</w:t>
      </w:r>
    </w:p>
    <w:p w14:paraId="453939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9.2 乙方按本合同约定向甲方交付</w:t>
      </w:r>
      <w:r>
        <w:rPr>
          <w:rFonts w:hint="eastAsia" w:ascii="宋体" w:hAnsi="宋体"/>
          <w:color w:val="auto"/>
          <w:highlight w:val="none"/>
          <w:lang w:eastAsia="zh-CN"/>
        </w:rPr>
        <w:t>成果文件</w:t>
      </w:r>
      <w:r>
        <w:rPr>
          <w:rFonts w:hint="eastAsia" w:ascii="宋体" w:hAnsi="宋体"/>
          <w:color w:val="auto"/>
          <w:highlight w:val="none"/>
          <w:lang w:eastAsia="en-US"/>
        </w:rPr>
        <w:t>后，非因乙方原因，甲方的上级或规划编制审批部门对规划</w:t>
      </w:r>
      <w:r>
        <w:rPr>
          <w:rFonts w:hint="eastAsia" w:ascii="宋体" w:hAnsi="宋体"/>
          <w:color w:val="auto"/>
          <w:highlight w:val="none"/>
          <w:lang w:eastAsia="zh-CN"/>
        </w:rPr>
        <w:t>成果文件</w:t>
      </w:r>
      <w:r>
        <w:rPr>
          <w:rFonts w:hint="eastAsia" w:ascii="宋体" w:hAnsi="宋体"/>
          <w:color w:val="auto"/>
          <w:highlight w:val="none"/>
          <w:lang w:eastAsia="en-US"/>
        </w:rPr>
        <w:t>不审批或本合同项目停缓建，导致乙方不需要再对</w:t>
      </w:r>
      <w:r>
        <w:rPr>
          <w:rFonts w:hint="eastAsia" w:ascii="宋体" w:hAnsi="宋体"/>
          <w:color w:val="auto"/>
          <w:highlight w:val="none"/>
          <w:lang w:eastAsia="zh-CN"/>
        </w:rPr>
        <w:t>成果文件</w:t>
      </w:r>
      <w:r>
        <w:rPr>
          <w:rFonts w:hint="eastAsia" w:ascii="宋体" w:hAnsi="宋体"/>
          <w:color w:val="auto"/>
          <w:highlight w:val="none"/>
          <w:lang w:eastAsia="en-US"/>
        </w:rPr>
        <w:t>进行调整的，甲方应按第七条向乙方支付相应合同费用。</w:t>
      </w:r>
    </w:p>
    <w:p w14:paraId="41AD56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9.3 乙方擅自将本合同项目转包、分包给第三人的，甲方有权解除合同，要求乙方退还已支付的合同费用。</w:t>
      </w:r>
    </w:p>
    <w:p w14:paraId="20426B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9.4 乙方提交的</w:t>
      </w:r>
      <w:r>
        <w:rPr>
          <w:rFonts w:hint="eastAsia" w:ascii="宋体" w:hAnsi="宋体"/>
          <w:color w:val="auto"/>
          <w:highlight w:val="none"/>
          <w:lang w:eastAsia="zh-CN"/>
        </w:rPr>
        <w:t>成果文件</w:t>
      </w:r>
      <w:r>
        <w:rPr>
          <w:rFonts w:hint="eastAsia" w:ascii="宋体" w:hAnsi="宋体"/>
          <w:color w:val="auto"/>
          <w:highlight w:val="none"/>
          <w:lang w:eastAsia="en-US"/>
        </w:rPr>
        <w:t>侵害他人知识产权或其他民事权利的，由乙方承担相应的赔偿责任。同时视为乙方构成违约，甲方有权解除合同，要求乙方退还合同价款，并要求乙方支付合同总价款 10%的违约金。</w:t>
      </w:r>
    </w:p>
    <w:p w14:paraId="141AD0E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第十条 保密</w:t>
      </w:r>
    </w:p>
    <w:p w14:paraId="65CA21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C3E3DD9">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第十一条 争议解决</w:t>
      </w:r>
    </w:p>
    <w:p w14:paraId="1B18C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本设计合同发生争议，甲方与乙方应及时协商解决。调解不成时，可向甲方所在地有管辖权的人民法院起诉。</w:t>
      </w:r>
    </w:p>
    <w:p w14:paraId="28CC6CFF">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第十二条 通知与送达</w:t>
      </w:r>
    </w:p>
    <w:p w14:paraId="53045B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12.1 双方约定，双方的业务联系一般情况下应通过双方所指定的工作联系人进行，具体为：</w:t>
      </w:r>
    </w:p>
    <w:p w14:paraId="1610EA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甲方指定的工作联系单位和联系人为：</w:t>
      </w:r>
    </w:p>
    <w:p w14:paraId="0303B6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姓名： </w:t>
      </w:r>
      <w:r>
        <w:rPr>
          <w:rFonts w:hint="eastAsia" w:ascii="宋体" w:hAnsi="宋体"/>
          <w:color w:val="auto"/>
          <w:highlight w:val="none"/>
          <w:lang w:val="en-US" w:eastAsia="zh-CN"/>
        </w:rPr>
        <w:t xml:space="preserve">            </w:t>
      </w:r>
      <w:r>
        <w:rPr>
          <w:rFonts w:hint="eastAsia" w:ascii="宋体" w:hAnsi="宋体"/>
          <w:color w:val="auto"/>
          <w:highlight w:val="none"/>
          <w:lang w:eastAsia="en-US"/>
        </w:rPr>
        <w:t xml:space="preserve">手    机： </w:t>
      </w:r>
      <w:r>
        <w:rPr>
          <w:rFonts w:hint="eastAsia" w:ascii="宋体" w:hAnsi="宋体"/>
          <w:color w:val="auto"/>
          <w:highlight w:val="none"/>
          <w:lang w:val="en-US" w:eastAsia="zh-CN"/>
        </w:rPr>
        <w:t xml:space="preserve"> </w:t>
      </w:r>
      <w:r>
        <w:rPr>
          <w:rFonts w:hint="eastAsia" w:ascii="宋体" w:hAnsi="宋体"/>
          <w:color w:val="auto"/>
          <w:highlight w:val="none"/>
          <w:lang w:eastAsia="en-US"/>
        </w:rPr>
        <w:t xml:space="preserve"> </w:t>
      </w:r>
    </w:p>
    <w:p w14:paraId="45239D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电子信箱：</w:t>
      </w:r>
    </w:p>
    <w:p w14:paraId="36D24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通信地址： </w:t>
      </w:r>
    </w:p>
    <w:p w14:paraId="2EC602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乙方指定日常联系人联系方式：</w:t>
      </w:r>
    </w:p>
    <w:p w14:paraId="0E68B5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姓名：             手    机：              </w:t>
      </w:r>
    </w:p>
    <w:p w14:paraId="0DE6EC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传真：             电子信箱：              </w:t>
      </w:r>
    </w:p>
    <w:p w14:paraId="570A7E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通信地址：                         </w:t>
      </w:r>
    </w:p>
    <w:p w14:paraId="371E54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12.2 与签订及履行本合同有关的一切通知、函件或其他法律文件，甲乙双方均应向上述指定联系人及地址送达。以专人送达的，由指定联系人签字之日为送达日；以信件或快递方式送达的，以发邮后第三日为送达日；以电子邮件或手机信息方式送达的，以发送一方系统显示的发送成功之日为送达日。</w:t>
      </w:r>
    </w:p>
    <w:p w14:paraId="79928D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12.3 双方确认，本合同载明的各方地址为双方真实有效通讯地址，一方地址变更的，应在变更后 10 日内书面通知对方，否则本合同载明的地址仍为真实有效通讯地址。</w:t>
      </w:r>
    </w:p>
    <w:p w14:paraId="02085A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12.4 上述送达地址和联系方式适用范围包括双方非诉讼时各类通知、合同等文件以及就合同发生纠纷时相关文件和法律文书的送达，同时包括在争议进入仲裁、民事诉讼程序后的一审、二审、再审和执行程序。</w:t>
      </w:r>
    </w:p>
    <w:p w14:paraId="54E3E7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12.5 合同送达条款为独立条款，不受合同整体或其他条款的效力的影响。</w:t>
      </w:r>
    </w:p>
    <w:p w14:paraId="66FDC571">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第十三条 合同生效及其他</w:t>
      </w:r>
    </w:p>
    <w:p w14:paraId="14FCBB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13.1 甲方要求乙方派专人长期驻施工现场进行配合与解决有关问题时，双方应另行签订技术咨询服务合同。</w:t>
      </w:r>
    </w:p>
    <w:p w14:paraId="5F10F3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13.2 甲方委托乙方承担本合同内容以外的工作服务，另行签订协议并支付费用。</w:t>
      </w:r>
    </w:p>
    <w:p w14:paraId="2979B1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13.3 由于不可抗力因素致使合同无法履行时，双方应及时协商解决。</w:t>
      </w:r>
    </w:p>
    <w:p w14:paraId="18C92B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13.4 本合同双方签字盖章即生效，一式</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份，甲方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w:t>
      </w:r>
      <w:r>
        <w:rPr>
          <w:rFonts w:hint="eastAsia" w:ascii="宋体" w:hAnsi="宋体"/>
          <w:color w:val="auto"/>
          <w:highlight w:val="none"/>
          <w:lang w:val="en-US" w:eastAsia="zh-CN"/>
        </w:rPr>
        <w:t>乙方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份，本项目采购代理机构</w:t>
      </w:r>
      <w:r>
        <w:rPr>
          <w:rFonts w:hint="eastAsia" w:ascii="宋体" w:hAnsi="宋体"/>
          <w:color w:val="auto"/>
          <w:highlight w:val="none"/>
          <w:u w:val="single"/>
          <w:lang w:val="en-US" w:eastAsia="zh-CN"/>
        </w:rPr>
        <w:t xml:space="preserve"> 壹 </w:t>
      </w:r>
      <w:r>
        <w:rPr>
          <w:rFonts w:hint="eastAsia" w:ascii="宋体" w:hAnsi="宋体"/>
          <w:color w:val="auto"/>
          <w:highlight w:val="none"/>
          <w:lang w:eastAsia="en-US"/>
        </w:rPr>
        <w:t>份。</w:t>
      </w:r>
    </w:p>
    <w:p w14:paraId="4FD8A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13.5 双方认可的来往传真、电报、会议纪要等，均为合同的组成部分，与本合同具有同等法律效力。</w:t>
      </w:r>
    </w:p>
    <w:p w14:paraId="073B51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13.6 未尽事宜，经双方协商一致，签订补充协议，补充协议与本合同具有同等效力。</w:t>
      </w:r>
    </w:p>
    <w:p w14:paraId="1E1C2C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eastAsia="en-US"/>
        </w:rPr>
        <w:t>以下无正文</w:t>
      </w:r>
      <w:r>
        <w:rPr>
          <w:rFonts w:hint="eastAsia" w:ascii="宋体" w:hAnsi="宋体"/>
          <w:color w:val="auto"/>
          <w:highlight w:val="none"/>
          <w:lang w:eastAsia="zh-CN"/>
        </w:rPr>
        <w:t>）</w:t>
      </w:r>
    </w:p>
    <w:p w14:paraId="6EF1F7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sectPr>
          <w:headerReference r:id="rId5" w:type="default"/>
          <w:footerReference r:id="rId6" w:type="default"/>
          <w:pgSz w:w="11906" w:h="16839"/>
          <w:pgMar w:top="1366" w:right="1416" w:bottom="1151" w:left="1417" w:header="829" w:footer="989" w:gutter="0"/>
          <w:pgNumType w:fmt="decimal"/>
          <w:cols w:space="720" w:num="1"/>
        </w:sectPr>
      </w:pPr>
    </w:p>
    <w:p w14:paraId="36C9E805">
      <w:pPr>
        <w:rPr>
          <w:rFonts w:hint="eastAsia" w:ascii="宋体" w:hAnsi="宋体"/>
          <w:color w:val="auto"/>
          <w:highlight w:val="none"/>
          <w:lang w:eastAsia="en-US"/>
        </w:rPr>
      </w:pPr>
      <w:r>
        <w:rPr>
          <w:rFonts w:hint="eastAsia" w:ascii="宋体" w:hAnsi="宋体"/>
          <w:color w:val="auto"/>
          <w:highlight w:val="none"/>
          <w:lang w:eastAsia="en-US"/>
        </w:rPr>
        <w:br w:type="page"/>
      </w:r>
    </w:p>
    <w:p w14:paraId="77441579">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甲方名称：（盖章）</w:t>
      </w:r>
    </w:p>
    <w:p w14:paraId="6849E6C8">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广西财经学院</w:t>
      </w:r>
    </w:p>
    <w:p w14:paraId="4233C666">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法定代表人或其委托代理人（签字）</w:t>
      </w:r>
    </w:p>
    <w:p w14:paraId="38504B9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地    址： </w:t>
      </w:r>
      <w:r>
        <w:rPr>
          <w:rFonts w:hint="eastAsia" w:ascii="宋体" w:hAnsi="宋体"/>
          <w:color w:val="auto"/>
          <w:highlight w:val="none"/>
          <w:lang w:eastAsia="zh-CN"/>
        </w:rPr>
        <w:t>南宁市大学西路189号</w:t>
      </w:r>
    </w:p>
    <w:p w14:paraId="34F74A0E">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    话：0771-3835650</w:t>
      </w:r>
    </w:p>
    <w:p w14:paraId="45EB85EE">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ab/>
      </w:r>
      <w:r>
        <w:rPr>
          <w:rFonts w:hint="eastAsia" w:ascii="宋体" w:hAnsi="宋体"/>
          <w:color w:val="auto"/>
          <w:highlight w:val="none"/>
          <w:lang w:eastAsia="en-US"/>
        </w:rPr>
        <w:t xml:space="preserve"> 年     月     日</w:t>
      </w:r>
    </w:p>
    <w:p w14:paraId="2A5FC5A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ascii="Arial" w:hAnsi="Arial" w:eastAsia="Arial" w:cs="Arial"/>
          <w:snapToGrid w:val="0"/>
          <w:color w:val="auto"/>
          <w:kern w:val="0"/>
          <w:sz w:val="21"/>
          <w:szCs w:val="21"/>
          <w:highlight w:val="none"/>
          <w:lang w:val="en-US" w:eastAsia="en-US" w:bidi="ar-SA"/>
        </w:rPr>
        <w:br w:type="column"/>
      </w:r>
      <w:r>
        <w:rPr>
          <w:rFonts w:hint="eastAsia" w:ascii="宋体" w:hAnsi="宋体"/>
          <w:color w:val="auto"/>
          <w:highlight w:val="none"/>
          <w:lang w:eastAsia="en-US"/>
        </w:rPr>
        <w:t>乙方名称：（盖章）</w:t>
      </w:r>
    </w:p>
    <w:p w14:paraId="3C5451F3">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p>
    <w:p w14:paraId="57DDD89A">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法定代表人或其委托代理人（签字）</w:t>
      </w:r>
    </w:p>
    <w:p w14:paraId="38424F3A">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住    所：</w:t>
      </w:r>
    </w:p>
    <w:p w14:paraId="7C880CB3">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邮政编码：</w:t>
      </w:r>
    </w:p>
    <w:p w14:paraId="6478FD6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    话：</w:t>
      </w:r>
    </w:p>
    <w:p w14:paraId="3CFD840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传    真：</w:t>
      </w:r>
    </w:p>
    <w:p w14:paraId="7499E962">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开户名称：</w:t>
      </w:r>
    </w:p>
    <w:p w14:paraId="0703F02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开户银行：</w:t>
      </w:r>
    </w:p>
    <w:p w14:paraId="3D3E00C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银行帐号：</w:t>
      </w:r>
    </w:p>
    <w:p w14:paraId="41DB817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ab/>
      </w:r>
      <w:r>
        <w:rPr>
          <w:rFonts w:hint="eastAsia" w:ascii="宋体" w:hAnsi="宋体"/>
          <w:color w:val="auto"/>
          <w:highlight w:val="none"/>
          <w:lang w:eastAsia="en-US"/>
        </w:rPr>
        <w:t xml:space="preserve"> 年    月    日</w:t>
      </w:r>
    </w:p>
    <w:p w14:paraId="266C327C">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sectPr>
          <w:footerReference r:id="rId7" w:type="default"/>
          <w:type w:val="continuous"/>
          <w:pgSz w:w="11906" w:h="16839"/>
          <w:pgMar w:top="1366" w:right="1416" w:bottom="1151" w:left="1416" w:header="829" w:footer="989" w:gutter="0"/>
          <w:pgNumType w:fmt="decimal"/>
          <w:cols w:equalWidth="0" w:num="2">
            <w:col w:w="4692" w:space="100"/>
            <w:col w:w="4282"/>
          </w:cols>
        </w:sectPr>
      </w:pPr>
    </w:p>
    <w:p w14:paraId="5F17F662">
      <w:pPr>
        <w:snapToGrid w:val="0"/>
        <w:spacing w:line="370" w:lineRule="exact"/>
        <w:ind w:left="0" w:leftChars="0" w:firstLine="0" w:firstLineChars="0"/>
        <w:outlineLvl w:val="9"/>
        <w:rPr>
          <w:rFonts w:ascii="宋体" w:hAnsi="宋体"/>
          <w:color w:val="auto"/>
          <w:szCs w:val="20"/>
          <w:highlight w:val="none"/>
        </w:rPr>
      </w:pPr>
    </w:p>
    <w:p w14:paraId="5A34CFDC">
      <w:pPr>
        <w:spacing w:line="400" w:lineRule="exact"/>
        <w:jc w:val="center"/>
        <w:rPr>
          <w:rFonts w:hint="eastAsia" w:ascii="宋体" w:hAnsi="宋体"/>
          <w:color w:val="auto"/>
          <w:sz w:val="32"/>
          <w:szCs w:val="32"/>
          <w:highlight w:val="none"/>
        </w:rPr>
      </w:pPr>
    </w:p>
    <w:p w14:paraId="5FEAE442">
      <w:pPr>
        <w:spacing w:line="400" w:lineRule="exact"/>
        <w:jc w:val="center"/>
        <w:rPr>
          <w:rFonts w:hint="eastAsia" w:ascii="宋体" w:hAnsi="宋体"/>
          <w:color w:val="auto"/>
          <w:sz w:val="32"/>
          <w:szCs w:val="32"/>
          <w:highlight w:val="none"/>
        </w:rPr>
      </w:pPr>
    </w:p>
    <w:p w14:paraId="1A50F307">
      <w:pPr>
        <w:spacing w:line="400" w:lineRule="exact"/>
        <w:jc w:val="center"/>
        <w:rPr>
          <w:rFonts w:hint="eastAsia" w:ascii="宋体" w:hAnsi="宋体"/>
          <w:color w:val="auto"/>
          <w:sz w:val="32"/>
          <w:szCs w:val="32"/>
          <w:highlight w:val="none"/>
        </w:rPr>
      </w:pPr>
    </w:p>
    <w:p w14:paraId="5AA24D5D">
      <w:pPr>
        <w:spacing w:line="400" w:lineRule="exact"/>
        <w:jc w:val="center"/>
        <w:rPr>
          <w:rFonts w:hint="eastAsia" w:ascii="宋体" w:hAnsi="宋体"/>
          <w:color w:val="auto"/>
          <w:sz w:val="32"/>
          <w:szCs w:val="32"/>
          <w:highlight w:val="none"/>
        </w:rPr>
      </w:pPr>
    </w:p>
    <w:p w14:paraId="725C0D70">
      <w:pPr>
        <w:spacing w:line="400" w:lineRule="exact"/>
        <w:jc w:val="center"/>
        <w:rPr>
          <w:rFonts w:hint="eastAsia" w:ascii="宋体" w:hAnsi="宋体"/>
          <w:color w:val="auto"/>
          <w:sz w:val="32"/>
          <w:szCs w:val="32"/>
          <w:highlight w:val="none"/>
        </w:rPr>
      </w:pPr>
    </w:p>
    <w:p w14:paraId="3622E0B7">
      <w:pPr>
        <w:spacing w:line="400" w:lineRule="exact"/>
        <w:jc w:val="center"/>
        <w:rPr>
          <w:rFonts w:hint="eastAsia" w:ascii="宋体" w:hAnsi="宋体"/>
          <w:color w:val="auto"/>
          <w:sz w:val="32"/>
          <w:szCs w:val="32"/>
          <w:highlight w:val="none"/>
        </w:rPr>
      </w:pPr>
    </w:p>
    <w:p w14:paraId="3734932F">
      <w:pPr>
        <w:spacing w:line="400" w:lineRule="exact"/>
        <w:jc w:val="center"/>
        <w:rPr>
          <w:rFonts w:hint="eastAsia" w:ascii="宋体" w:hAnsi="宋体"/>
          <w:color w:val="auto"/>
          <w:sz w:val="32"/>
          <w:szCs w:val="32"/>
          <w:highlight w:val="none"/>
        </w:rPr>
      </w:pPr>
    </w:p>
    <w:p w14:paraId="3E10CCCF">
      <w:pPr>
        <w:spacing w:line="400" w:lineRule="exact"/>
        <w:jc w:val="center"/>
        <w:rPr>
          <w:rFonts w:hint="eastAsia" w:ascii="宋体" w:hAnsi="宋体"/>
          <w:color w:val="auto"/>
          <w:sz w:val="32"/>
          <w:szCs w:val="32"/>
          <w:highlight w:val="none"/>
        </w:rPr>
      </w:pPr>
    </w:p>
    <w:p w14:paraId="7C4B8C8E">
      <w:pPr>
        <w:spacing w:line="400" w:lineRule="exact"/>
        <w:jc w:val="center"/>
        <w:rPr>
          <w:rFonts w:hint="eastAsia" w:ascii="宋体" w:hAnsi="宋体"/>
          <w:color w:val="auto"/>
          <w:sz w:val="32"/>
          <w:szCs w:val="32"/>
          <w:highlight w:val="none"/>
        </w:rPr>
      </w:pPr>
    </w:p>
    <w:p w14:paraId="22ABCF2D">
      <w:pPr>
        <w:spacing w:line="400" w:lineRule="exact"/>
        <w:jc w:val="center"/>
        <w:rPr>
          <w:rFonts w:hint="eastAsia" w:ascii="宋体" w:hAnsi="宋体"/>
          <w:color w:val="auto"/>
          <w:sz w:val="32"/>
          <w:szCs w:val="32"/>
          <w:highlight w:val="none"/>
        </w:rPr>
      </w:pPr>
    </w:p>
    <w:p w14:paraId="28442FCB">
      <w:pPr>
        <w:spacing w:line="400" w:lineRule="exact"/>
        <w:jc w:val="center"/>
        <w:rPr>
          <w:rFonts w:hint="eastAsia" w:ascii="宋体" w:hAnsi="宋体"/>
          <w:color w:val="auto"/>
          <w:sz w:val="32"/>
          <w:szCs w:val="32"/>
          <w:highlight w:val="none"/>
        </w:rPr>
      </w:pPr>
    </w:p>
    <w:p w14:paraId="3C695DDA">
      <w:pPr>
        <w:spacing w:line="400" w:lineRule="exact"/>
        <w:jc w:val="center"/>
        <w:rPr>
          <w:rFonts w:hint="eastAsia" w:ascii="宋体" w:hAnsi="宋体"/>
          <w:color w:val="auto"/>
          <w:sz w:val="32"/>
          <w:szCs w:val="32"/>
          <w:highlight w:val="none"/>
        </w:rPr>
      </w:pPr>
    </w:p>
    <w:p w14:paraId="2BFCA5E0">
      <w:pPr>
        <w:pStyle w:val="17"/>
        <w:rPr>
          <w:rFonts w:hint="eastAsia"/>
          <w:color w:val="auto"/>
          <w:kern w:val="0"/>
          <w:sz w:val="44"/>
          <w:szCs w:val="44"/>
          <w:highlight w:val="none"/>
        </w:rPr>
      </w:pPr>
      <w:bookmarkStart w:id="91" w:name="_Toc476258761"/>
      <w:bookmarkStart w:id="92" w:name="_Toc476258673"/>
      <w:r>
        <w:rPr>
          <w:rFonts w:hint="eastAsia"/>
          <w:color w:val="auto"/>
          <w:kern w:val="0"/>
          <w:sz w:val="44"/>
          <w:szCs w:val="44"/>
          <w:highlight w:val="none"/>
        </w:rPr>
        <w:t>第六章  评标标准</w:t>
      </w:r>
      <w:bookmarkEnd w:id="91"/>
      <w:bookmarkEnd w:id="92"/>
    </w:p>
    <w:p w14:paraId="4610953D">
      <w:pPr>
        <w:pStyle w:val="11"/>
        <w:spacing w:line="440" w:lineRule="exact"/>
        <w:rPr>
          <w:rFonts w:hint="eastAsia" w:ascii="黑体" w:hAnsi="宋体" w:eastAsia="黑体"/>
          <w:b/>
          <w:color w:val="auto"/>
          <w:kern w:val="0"/>
          <w:sz w:val="32"/>
          <w:szCs w:val="32"/>
          <w:highlight w:val="none"/>
        </w:rPr>
      </w:pPr>
    </w:p>
    <w:p w14:paraId="1A9F6B4C">
      <w:pPr>
        <w:pStyle w:val="11"/>
        <w:spacing w:line="440" w:lineRule="exact"/>
        <w:rPr>
          <w:rFonts w:hint="eastAsia" w:ascii="黑体" w:hAnsi="宋体" w:eastAsia="黑体"/>
          <w:b/>
          <w:color w:val="auto"/>
          <w:kern w:val="0"/>
          <w:sz w:val="32"/>
          <w:szCs w:val="32"/>
          <w:highlight w:val="none"/>
        </w:rPr>
      </w:pPr>
    </w:p>
    <w:p w14:paraId="2D93F1BA">
      <w:pPr>
        <w:pStyle w:val="11"/>
        <w:spacing w:line="440" w:lineRule="exact"/>
        <w:rPr>
          <w:rFonts w:hint="eastAsia" w:ascii="黑体" w:hAnsi="宋体" w:eastAsia="黑体"/>
          <w:b/>
          <w:color w:val="auto"/>
          <w:kern w:val="0"/>
          <w:sz w:val="32"/>
          <w:szCs w:val="32"/>
          <w:highlight w:val="none"/>
        </w:rPr>
      </w:pPr>
    </w:p>
    <w:p w14:paraId="040CD4C5">
      <w:pPr>
        <w:pStyle w:val="11"/>
        <w:spacing w:line="440" w:lineRule="exact"/>
        <w:rPr>
          <w:rFonts w:hint="eastAsia" w:ascii="黑体" w:hAnsi="宋体" w:eastAsia="黑体"/>
          <w:b/>
          <w:color w:val="auto"/>
          <w:kern w:val="0"/>
          <w:sz w:val="32"/>
          <w:szCs w:val="32"/>
          <w:highlight w:val="none"/>
        </w:rPr>
      </w:pPr>
    </w:p>
    <w:p w14:paraId="7040F498">
      <w:pPr>
        <w:pStyle w:val="11"/>
        <w:spacing w:line="440" w:lineRule="exact"/>
        <w:rPr>
          <w:rFonts w:hint="eastAsia" w:ascii="黑体" w:hAnsi="宋体" w:eastAsia="黑体"/>
          <w:b/>
          <w:color w:val="auto"/>
          <w:kern w:val="0"/>
          <w:sz w:val="32"/>
          <w:szCs w:val="32"/>
          <w:highlight w:val="none"/>
        </w:rPr>
      </w:pPr>
    </w:p>
    <w:p w14:paraId="184F8259">
      <w:pPr>
        <w:pStyle w:val="11"/>
        <w:spacing w:line="440" w:lineRule="exact"/>
        <w:rPr>
          <w:rFonts w:hint="eastAsia" w:ascii="黑体" w:hAnsi="宋体" w:eastAsia="黑体"/>
          <w:b/>
          <w:color w:val="auto"/>
          <w:kern w:val="0"/>
          <w:sz w:val="32"/>
          <w:szCs w:val="32"/>
          <w:highlight w:val="none"/>
        </w:rPr>
      </w:pPr>
    </w:p>
    <w:p w14:paraId="1A455B55">
      <w:pPr>
        <w:pStyle w:val="11"/>
        <w:spacing w:line="440" w:lineRule="exact"/>
        <w:rPr>
          <w:rFonts w:hint="eastAsia" w:ascii="黑体" w:hAnsi="宋体" w:eastAsia="黑体"/>
          <w:b/>
          <w:color w:val="auto"/>
          <w:kern w:val="0"/>
          <w:sz w:val="32"/>
          <w:szCs w:val="32"/>
          <w:highlight w:val="none"/>
        </w:rPr>
      </w:pPr>
    </w:p>
    <w:p w14:paraId="21CFE4EA">
      <w:pPr>
        <w:pStyle w:val="11"/>
        <w:spacing w:line="440" w:lineRule="exact"/>
        <w:rPr>
          <w:rFonts w:hint="eastAsia" w:ascii="黑体" w:hAnsi="宋体" w:eastAsia="黑体"/>
          <w:b/>
          <w:color w:val="auto"/>
          <w:kern w:val="0"/>
          <w:sz w:val="32"/>
          <w:szCs w:val="32"/>
          <w:highlight w:val="none"/>
        </w:rPr>
      </w:pPr>
    </w:p>
    <w:p w14:paraId="3608E41D">
      <w:pPr>
        <w:pStyle w:val="11"/>
        <w:spacing w:line="440" w:lineRule="exact"/>
        <w:rPr>
          <w:rFonts w:hint="eastAsia" w:ascii="黑体" w:hAnsi="宋体" w:eastAsia="黑体"/>
          <w:b/>
          <w:color w:val="auto"/>
          <w:kern w:val="0"/>
          <w:sz w:val="32"/>
          <w:szCs w:val="32"/>
          <w:highlight w:val="none"/>
        </w:rPr>
      </w:pPr>
    </w:p>
    <w:p w14:paraId="70B37E8F">
      <w:pPr>
        <w:pStyle w:val="11"/>
        <w:spacing w:line="440" w:lineRule="exact"/>
        <w:rPr>
          <w:rFonts w:hint="eastAsia" w:ascii="黑体" w:hAnsi="宋体" w:eastAsia="黑体"/>
          <w:b/>
          <w:color w:val="auto"/>
          <w:kern w:val="0"/>
          <w:sz w:val="32"/>
          <w:szCs w:val="32"/>
          <w:highlight w:val="none"/>
        </w:rPr>
      </w:pPr>
    </w:p>
    <w:p w14:paraId="6E4BDE23">
      <w:pPr>
        <w:pStyle w:val="11"/>
        <w:spacing w:line="440" w:lineRule="exact"/>
        <w:rPr>
          <w:rFonts w:hint="eastAsia" w:hAnsi="宋体"/>
          <w:b/>
          <w:color w:val="auto"/>
          <w:kern w:val="0"/>
          <w:highlight w:val="none"/>
        </w:rPr>
      </w:pPr>
    </w:p>
    <w:p w14:paraId="6DDB7AE1">
      <w:pPr>
        <w:pStyle w:val="11"/>
        <w:keepNext w:val="0"/>
        <w:keepLines w:val="0"/>
        <w:pageBreakBefore w:val="0"/>
        <w:widowControl w:val="0"/>
        <w:kinsoku/>
        <w:wordWrap/>
        <w:overflowPunct/>
        <w:topLinePunct w:val="0"/>
        <w:autoSpaceDE/>
        <w:autoSpaceDN/>
        <w:bidi w:val="0"/>
        <w:snapToGrid/>
        <w:spacing w:line="380" w:lineRule="exact"/>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5D93F9E4">
      <w:pPr>
        <w:pStyle w:val="15"/>
        <w:keepNext w:val="0"/>
        <w:keepLines w:val="0"/>
        <w:pageBreakBefore w:val="0"/>
        <w:widowControl w:val="0"/>
        <w:kinsoku/>
        <w:wordWrap/>
        <w:overflowPunct/>
        <w:topLinePunct w:val="0"/>
        <w:autoSpaceDE/>
        <w:autoSpaceDN/>
        <w:bidi w:val="0"/>
        <w:snapToGrid/>
        <w:spacing w:line="380" w:lineRule="exact"/>
        <w:ind w:left="0"/>
        <w:jc w:val="center"/>
        <w:rPr>
          <w:rFonts w:hint="eastAsia"/>
          <w:b/>
          <w:bCs/>
          <w:color w:val="auto"/>
          <w:szCs w:val="21"/>
          <w:highlight w:val="none"/>
        </w:rPr>
      </w:pPr>
    </w:p>
    <w:p w14:paraId="57CCB0CB">
      <w:pPr>
        <w:pStyle w:val="15"/>
        <w:keepNext w:val="0"/>
        <w:keepLines w:val="0"/>
        <w:pageBreakBefore w:val="0"/>
        <w:widowControl w:val="0"/>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一、评标原则</w:t>
      </w:r>
    </w:p>
    <w:p w14:paraId="0ECE2E37">
      <w:pPr>
        <w:pStyle w:val="15"/>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6AD272D">
      <w:pPr>
        <w:keepNext w:val="0"/>
        <w:keepLines w:val="0"/>
        <w:pageBreakBefore w:val="0"/>
        <w:widowControl w:val="0"/>
        <w:kinsoku/>
        <w:wordWrap/>
        <w:overflowPunct/>
        <w:topLinePunct w:val="0"/>
        <w:autoSpaceDE/>
        <w:autoSpaceDN/>
        <w:bidi w:val="0"/>
        <w:snapToGrid/>
        <w:spacing w:line="400" w:lineRule="exact"/>
        <w:ind w:firstLine="420"/>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（二）评标依据：评委将以竞争性磋商文件和竞争性磋商响应文件为评标依据，对供应商的</w:t>
      </w:r>
      <w:r>
        <w:rPr>
          <w:rFonts w:hint="eastAsia" w:ascii="宋体" w:hAnsi="宋体" w:cs="宋体"/>
          <w:bCs/>
          <w:color w:val="auto"/>
          <w:sz w:val="21"/>
          <w:szCs w:val="21"/>
          <w:highlight w:val="none"/>
          <w:lang w:eastAsia="zh-CN"/>
        </w:rPr>
        <w:t>响应文件</w:t>
      </w:r>
      <w:r>
        <w:rPr>
          <w:rFonts w:hint="eastAsia" w:ascii="宋体" w:hAnsi="宋体" w:cs="宋体"/>
          <w:bCs/>
          <w:color w:val="auto"/>
          <w:sz w:val="21"/>
          <w:szCs w:val="21"/>
          <w:highlight w:val="none"/>
        </w:rPr>
        <w:t>内容按百分制打分。</w:t>
      </w:r>
    </w:p>
    <w:p w14:paraId="5A3D2030">
      <w:pPr>
        <w:pStyle w:val="15"/>
        <w:keepNext w:val="0"/>
        <w:keepLines w:val="0"/>
        <w:pageBreakBefore w:val="0"/>
        <w:widowControl w:val="0"/>
        <w:kinsoku/>
        <w:wordWrap/>
        <w:overflowPunct/>
        <w:topLinePunct w:val="0"/>
        <w:autoSpaceDE/>
        <w:autoSpaceDN/>
        <w:bidi w:val="0"/>
        <w:snapToGrid/>
        <w:spacing w:line="400" w:lineRule="exact"/>
        <w:ind w:left="0"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（三）评标方式：以封闭方式进行。</w:t>
      </w:r>
    </w:p>
    <w:p w14:paraId="05A200F5">
      <w:pPr>
        <w:pStyle w:val="15"/>
        <w:keepNext w:val="0"/>
        <w:keepLines w:val="0"/>
        <w:pageBreakBefore w:val="0"/>
        <w:widowControl w:val="0"/>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二、评标方法</w:t>
      </w:r>
    </w:p>
    <w:p w14:paraId="2FA6F25B">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磋商小组将以磋商响应文件为评审依据，对供应商的报价、技术、商务等方面内容按百分制打分。（计分方法按四舍五入取至百分位）</w:t>
      </w:r>
    </w:p>
    <w:tbl>
      <w:tblPr>
        <w:tblStyle w:val="19"/>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148"/>
        <w:gridCol w:w="6288"/>
        <w:gridCol w:w="851"/>
      </w:tblGrid>
      <w:tr w14:paraId="305E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818498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序号</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96E2B4D">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评审因素</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3B425348">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评审因素具体内容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D8A741E">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分值</w:t>
            </w:r>
          </w:p>
        </w:tc>
      </w:tr>
      <w:tr w14:paraId="115D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51FC88C">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2B54E9">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价格分</w:t>
            </w:r>
          </w:p>
        </w:tc>
        <w:tc>
          <w:tcPr>
            <w:tcW w:w="6288" w:type="dxa"/>
            <w:tcBorders>
              <w:top w:val="single" w:color="000000" w:sz="4" w:space="0"/>
              <w:left w:val="single" w:color="000000" w:sz="4" w:space="0"/>
              <w:bottom w:val="single" w:color="000000" w:sz="4" w:space="0"/>
              <w:right w:val="single" w:color="000000" w:sz="4" w:space="0"/>
            </w:tcBorders>
            <w:noWrap w:val="0"/>
            <w:vAlign w:val="top"/>
          </w:tcPr>
          <w:p w14:paraId="1BB02C08">
            <w:pPr>
              <w:keepNext w:val="0"/>
              <w:keepLines w:val="0"/>
              <w:pageBreakBefore w:val="0"/>
              <w:kinsoku/>
              <w:wordWrap/>
              <w:overflowPunct/>
              <w:topLinePunct w:val="0"/>
              <w:autoSpaceDE/>
              <w:autoSpaceDN/>
              <w:bidi w:val="0"/>
              <w:adjustRightInd/>
              <w:snapToGrid/>
              <w:spacing w:before="0" w:beforeAutospacing="0" w:afterAutospacing="0" w:line="400" w:lineRule="exact"/>
              <w:ind w:right="0"/>
              <w:jc w:val="both"/>
              <w:textAlignment w:val="baseline"/>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pP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1.以进入比较与评价环节的最低的有效最低报价为基准价，基准价得分为</w:t>
            </w:r>
            <w:r>
              <w:rPr>
                <w:rFonts w:hint="eastAsia" w:ascii="宋体" w:hAnsi="宋体" w:cs="宋体"/>
                <w:b w:val="0"/>
                <w:bCs/>
                <w:i w:val="0"/>
                <w:caps w:val="0"/>
                <w:color w:val="auto"/>
                <w:spacing w:val="0"/>
                <w:w w:val="100"/>
                <w:kern w:val="2"/>
                <w:sz w:val="21"/>
                <w:szCs w:val="21"/>
                <w:highlight w:val="none"/>
                <w:u w:val="none" w:color="auto"/>
                <w:lang w:val="en-US" w:eastAsia="zh-CN" w:bidi="ar-SA"/>
              </w:rPr>
              <w:t>25</w:t>
            </w: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分。</w:t>
            </w:r>
          </w:p>
          <w:p w14:paraId="4578A08F">
            <w:pPr>
              <w:keepNext w:val="0"/>
              <w:keepLines w:val="0"/>
              <w:pageBreakBefore w:val="0"/>
              <w:kinsoku/>
              <w:wordWrap/>
              <w:overflowPunct/>
              <w:topLinePunct w:val="0"/>
              <w:autoSpaceDE/>
              <w:autoSpaceDN/>
              <w:bidi w:val="0"/>
              <w:adjustRightInd/>
              <w:snapToGrid/>
              <w:spacing w:before="0" w:beforeAutospacing="0" w:afterAutospacing="0" w:line="400" w:lineRule="exact"/>
              <w:ind w:right="0"/>
              <w:jc w:val="both"/>
              <w:textAlignment w:val="baseline"/>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pP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2.价格分计算公式：报价得分=（基准价/最后报价）×</w:t>
            </w:r>
            <w:r>
              <w:rPr>
                <w:rFonts w:hint="eastAsia" w:ascii="宋体" w:hAnsi="宋体" w:cs="宋体"/>
                <w:b w:val="0"/>
                <w:bCs/>
                <w:i w:val="0"/>
                <w:caps w:val="0"/>
                <w:color w:val="auto"/>
                <w:spacing w:val="0"/>
                <w:w w:val="100"/>
                <w:kern w:val="2"/>
                <w:sz w:val="21"/>
                <w:szCs w:val="21"/>
                <w:highlight w:val="none"/>
                <w:u w:val="none" w:color="auto"/>
                <w:lang w:val="en-US" w:eastAsia="zh-CN" w:bidi="ar-SA"/>
              </w:rPr>
              <w:t>25</w:t>
            </w: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F4B0B0">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25</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04F3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705BA4">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2AA67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技术分</w:t>
            </w:r>
          </w:p>
        </w:tc>
        <w:tc>
          <w:tcPr>
            <w:tcW w:w="7139" w:type="dxa"/>
            <w:gridSpan w:val="2"/>
            <w:tcBorders>
              <w:top w:val="single" w:color="000000" w:sz="4" w:space="0"/>
              <w:left w:val="single" w:color="000000" w:sz="4" w:space="0"/>
              <w:bottom w:val="single" w:color="000000" w:sz="4" w:space="0"/>
              <w:right w:val="single" w:color="000000" w:sz="4" w:space="0"/>
            </w:tcBorders>
            <w:noWrap w:val="0"/>
            <w:vAlign w:val="top"/>
          </w:tcPr>
          <w:p w14:paraId="7DB80A0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评审因素</w:t>
            </w:r>
          </w:p>
        </w:tc>
      </w:tr>
      <w:tr w14:paraId="47DE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E8B667F">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FE363D">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服务实施方案</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44C855FA">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技术大纲思路简单，了解项目的基本情况，工作计划安排基本合理，基本能保证本规划编制质量。</w:t>
            </w:r>
          </w:p>
          <w:p w14:paraId="0C3B0758">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目进度计划、措施合理，技术大纲思路清晰，对项目的基本情况进行了分析，能充分认识到本项目具体情况，并有简单应对措施，工作有详细时间安排，提供项目的规划编制质量管理比较详细、有一定质量控制方案及。</w:t>
            </w:r>
          </w:p>
          <w:p w14:paraId="14D4EFF8">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项目工期进度计划、措施合理、跟踪服务完善。能针对项目需求做出完整响应。技术大纲思路清晰有条理，对项目的基本情况进行了分析，能深入了解到本项目具体情况，并有针对性的应对措施，工作计划有详细时间安排且计划衔接周密，并能提供具体详细的规划编制质量管理方案、质量控制方案并切实可行有效的保障编制工期措施的</w:t>
            </w:r>
          </w:p>
          <w:p w14:paraId="73C26173">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A29493F">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16</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79B6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40C2860">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21D930">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工作阶段划分与进度安排</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0D1350A2">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分）：工作阶段划分方案与进度计划安排一般，基本满足本项目的要求；</w:t>
            </w:r>
          </w:p>
          <w:p w14:paraId="79052ABD">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分）：工作阶段划分方案与进度计划安排良好，满足本项目的要求；</w:t>
            </w:r>
          </w:p>
          <w:p w14:paraId="3C625974">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分）：工作阶段划分方案与进度计划安排优秀，组织机构设置合理、满足本项目的要求，并针对本项目提出了合理化的建议与措施；</w:t>
            </w:r>
          </w:p>
          <w:p w14:paraId="1E8F9C9C">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E0A77B9">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15分</w:t>
            </w:r>
          </w:p>
        </w:tc>
      </w:tr>
      <w:tr w14:paraId="627D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6829E78">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8670524">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服务承诺</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1287C446">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分）：方案一般详实，一般贴切实际、实用性一般为一般，标准基本合理，措施基本可行的；</w:t>
            </w:r>
          </w:p>
          <w:p w14:paraId="7E815771">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分）：方案较详实，较贴切实际、实用性较强为良，标准合理，措施可行的；</w:t>
            </w:r>
          </w:p>
          <w:p w14:paraId="46D1F442">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分）：方案详实，贴切实际、实用性强为优，标准科学合理，措施切实可行的；</w:t>
            </w:r>
          </w:p>
          <w:p w14:paraId="67735793">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943321C">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14分</w:t>
            </w:r>
          </w:p>
        </w:tc>
      </w:tr>
      <w:tr w14:paraId="0CD7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C4DDF7">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2.4</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DE6C17">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人员配备</w:t>
            </w:r>
          </w:p>
          <w:p w14:paraId="343F4938">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方案</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518ACDD9">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分）：拟投入本项目规划专业、建筑专业、市政专业、景观（园林）专业、造价专业设计人员中有1人（含）以上具备工程类专业高级职称。</w:t>
            </w:r>
          </w:p>
          <w:p w14:paraId="398F70C9">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分）：拟投入本项目规划专业、建筑专业、市政专业、景观（园林）专业、造价专业设计人员中有2人（含）以上具备工程类专业高级职称</w:t>
            </w:r>
            <w:r>
              <w:rPr>
                <w:rFonts w:hint="eastAsia" w:ascii="宋体" w:hAnsi="宋体" w:cs="宋体"/>
                <w:color w:val="auto"/>
                <w:kern w:val="2"/>
                <w:sz w:val="21"/>
                <w:szCs w:val="21"/>
                <w:highlight w:val="none"/>
                <w:lang w:val="en-US" w:eastAsia="zh-CN" w:bidi="ar-SA"/>
              </w:rPr>
              <w:t>。</w:t>
            </w:r>
          </w:p>
          <w:p w14:paraId="5CE019F6">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分）：拟投入本项目规划专业、建筑专业、市政专业、景观（园林）专业、造价专业设计人员中有3人（含）以上具备工程类专业高级职称</w:t>
            </w:r>
            <w:r>
              <w:rPr>
                <w:rFonts w:hint="eastAsia" w:ascii="宋体" w:hAnsi="宋体" w:cs="宋体"/>
                <w:color w:val="auto"/>
                <w:kern w:val="2"/>
                <w:sz w:val="21"/>
                <w:szCs w:val="21"/>
                <w:highlight w:val="none"/>
                <w:lang w:val="en-US" w:eastAsia="zh-CN" w:bidi="ar-SA"/>
              </w:rPr>
              <w:t>。</w:t>
            </w:r>
          </w:p>
          <w:p w14:paraId="6567BED3">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分）：拟投入本项目规划专业、建筑专业、市政专业、景观（园林）专业、造价专业设计人员中有4人（含）以上具备工程类专业高级职称</w:t>
            </w:r>
            <w:r>
              <w:rPr>
                <w:rFonts w:hint="eastAsia" w:ascii="宋体" w:hAnsi="宋体" w:cs="宋体"/>
                <w:color w:val="auto"/>
                <w:kern w:val="2"/>
                <w:sz w:val="21"/>
                <w:szCs w:val="21"/>
                <w:highlight w:val="none"/>
                <w:lang w:val="en-US" w:eastAsia="zh-CN" w:bidi="ar-SA"/>
              </w:rPr>
              <w:t>。</w:t>
            </w:r>
          </w:p>
          <w:p w14:paraId="3F6B2BD5">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五档（15分）：拟投入本项目规划专业、建筑专业、市政专业、景观（园林）专业、造价专业设计人员中有5人（含）以上具备工程类专业高级职称。</w:t>
            </w:r>
          </w:p>
          <w:p w14:paraId="1382E8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20" w:firstLineChars="200"/>
              <w:jc w:val="both"/>
              <w:rPr>
                <w:rFonts w:hint="eastAsia" w:ascii="宋体" w:hAnsi="宋体" w:eastAsia="宋体" w:cs="宋体"/>
                <w:b w:val="0"/>
                <w:bCs w:val="0"/>
                <w:color w:val="auto"/>
                <w:sz w:val="21"/>
                <w:szCs w:val="21"/>
                <w:highlight w:val="none"/>
                <w:lang w:bidi="ar"/>
              </w:rPr>
            </w:pPr>
            <w:r>
              <w:rPr>
                <w:rFonts w:hint="eastAsia" w:ascii="宋体" w:hAnsi="宋体" w:eastAsia="宋体" w:cs="宋体"/>
                <w:bCs/>
                <w:color w:val="auto"/>
                <w:kern w:val="0"/>
                <w:sz w:val="21"/>
                <w:szCs w:val="21"/>
                <w:highlight w:val="none"/>
                <w:lang w:val="en-US" w:eastAsia="zh-CN" w:bidi="ar-SA"/>
              </w:rPr>
              <w:t>注：</w:t>
            </w:r>
            <w:r>
              <w:rPr>
                <w:rFonts w:hint="eastAsia" w:ascii="宋体" w:hAnsi="宋体" w:cs="宋体"/>
                <w:bCs/>
                <w:color w:val="auto"/>
                <w:kern w:val="0"/>
                <w:sz w:val="21"/>
                <w:szCs w:val="21"/>
                <w:highlight w:val="none"/>
                <w:lang w:val="en-US" w:eastAsia="zh-CN" w:bidi="ar-SA"/>
              </w:rPr>
              <w:t>以上指的是拟投入项目的其他</w:t>
            </w:r>
            <w:r>
              <w:rPr>
                <w:rFonts w:hint="eastAsia" w:ascii="宋体" w:hAnsi="宋体" w:eastAsia="宋体" w:cs="宋体"/>
                <w:bCs/>
                <w:color w:val="auto"/>
                <w:kern w:val="0"/>
                <w:sz w:val="21"/>
                <w:szCs w:val="21"/>
                <w:highlight w:val="none"/>
                <w:lang w:val="en-US" w:eastAsia="zh-CN" w:bidi="ar-SA"/>
              </w:rPr>
              <w:t>人员</w:t>
            </w:r>
            <w:r>
              <w:rPr>
                <w:rFonts w:hint="eastAsia" w:ascii="宋体" w:hAnsi="宋体" w:cs="宋体"/>
                <w:bCs/>
                <w:color w:val="auto"/>
                <w:kern w:val="0"/>
                <w:sz w:val="21"/>
                <w:szCs w:val="21"/>
                <w:highlight w:val="none"/>
                <w:lang w:val="en-US" w:eastAsia="zh-CN" w:bidi="ar-SA"/>
              </w:rPr>
              <w:t>（不含项目负责人）</w:t>
            </w:r>
            <w:r>
              <w:rPr>
                <w:rFonts w:hint="eastAsia" w:ascii="宋体" w:hAnsi="宋体" w:eastAsia="宋体" w:cs="宋体"/>
                <w:bCs/>
                <w:color w:val="auto"/>
                <w:kern w:val="0"/>
                <w:sz w:val="21"/>
                <w:szCs w:val="21"/>
                <w:highlight w:val="none"/>
                <w:lang w:val="en-US" w:eastAsia="zh-CN" w:bidi="ar-SA"/>
              </w:rPr>
              <w:t>均须提供身份证、毕业证书、职称证（如有）、注册证书（如有）、供应商为其缴纳的竞标截止时间前半年内任意一个月的社保证明等材料复印件，未提供证明材料该人员不计分。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5660AAC">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15分</w:t>
            </w:r>
          </w:p>
        </w:tc>
      </w:tr>
      <w:tr w14:paraId="3D28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2FA5EC9">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C1678D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val="0"/>
                <w:bCs/>
                <w:i w:val="0"/>
                <w:caps w:val="0"/>
                <w:color w:val="auto"/>
                <w:spacing w:val="0"/>
                <w:w w:val="100"/>
                <w:kern w:val="2"/>
                <w:sz w:val="21"/>
                <w:szCs w:val="21"/>
                <w:highlight w:val="none"/>
                <w:lang w:val="en-US" w:eastAsia="zh-CN" w:bidi="ar-SA"/>
              </w:rPr>
              <w:t>商务分</w:t>
            </w:r>
          </w:p>
        </w:tc>
        <w:tc>
          <w:tcPr>
            <w:tcW w:w="7139" w:type="dxa"/>
            <w:gridSpan w:val="2"/>
            <w:tcBorders>
              <w:top w:val="single" w:color="000000" w:sz="4" w:space="0"/>
              <w:left w:val="single" w:color="000000" w:sz="4" w:space="0"/>
              <w:bottom w:val="single" w:color="000000" w:sz="4" w:space="0"/>
              <w:right w:val="single" w:color="000000" w:sz="4" w:space="0"/>
            </w:tcBorders>
            <w:noWrap w:val="0"/>
            <w:vAlign w:val="center"/>
          </w:tcPr>
          <w:p w14:paraId="52AAC36A">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评审因素</w:t>
            </w:r>
          </w:p>
        </w:tc>
      </w:tr>
      <w:tr w14:paraId="635B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803" w:type="dxa"/>
            <w:tcBorders>
              <w:top w:val="single" w:color="000000" w:sz="4" w:space="0"/>
              <w:left w:val="single" w:color="000000" w:sz="4" w:space="0"/>
              <w:bottom w:val="single" w:color="auto" w:sz="4" w:space="0"/>
              <w:right w:val="single" w:color="000000" w:sz="4" w:space="0"/>
            </w:tcBorders>
            <w:noWrap w:val="0"/>
            <w:vAlign w:val="center"/>
          </w:tcPr>
          <w:p w14:paraId="556199E1">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3.1</w:t>
            </w: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728832E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val="0"/>
                <w:i w:val="0"/>
                <w:caps w:val="0"/>
                <w:color w:val="auto"/>
                <w:spacing w:val="0"/>
                <w:w w:val="100"/>
                <w:kern w:val="2"/>
                <w:sz w:val="21"/>
                <w:szCs w:val="21"/>
                <w:highlight w:val="none"/>
                <w:lang w:val="en-US" w:eastAsia="zh-CN" w:bidi="ar-SA"/>
              </w:rPr>
              <w:t>业绩分</w:t>
            </w:r>
          </w:p>
        </w:tc>
        <w:tc>
          <w:tcPr>
            <w:tcW w:w="6288" w:type="dxa"/>
            <w:tcBorders>
              <w:top w:val="single" w:color="000000" w:sz="4" w:space="0"/>
              <w:left w:val="single" w:color="000000" w:sz="4" w:space="0"/>
              <w:bottom w:val="single" w:color="auto" w:sz="4" w:space="0"/>
              <w:right w:val="single" w:color="000000" w:sz="4" w:space="0"/>
            </w:tcBorders>
            <w:noWrap w:val="0"/>
            <w:vAlign w:val="top"/>
          </w:tcPr>
          <w:p w14:paraId="7CAFB1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2023年1月1日以来至响应文件递交截止日期止，</w:t>
            </w:r>
            <w:r>
              <w:rPr>
                <w:rFonts w:hint="eastAsia" w:ascii="宋体" w:hAnsi="宋体" w:eastAsia="宋体" w:cs="宋体"/>
                <w:bCs/>
                <w:color w:val="auto"/>
                <w:kern w:val="0"/>
                <w:szCs w:val="21"/>
                <w:highlight w:val="none"/>
              </w:rPr>
              <w:t>供应商承接过修建性详细规划项目业绩</w:t>
            </w:r>
            <w:r>
              <w:rPr>
                <w:rFonts w:hint="eastAsia" w:ascii="宋体" w:hAnsi="宋体" w:eastAsia="宋体" w:cs="宋体"/>
                <w:bCs/>
                <w:color w:val="auto"/>
                <w:kern w:val="0"/>
                <w:sz w:val="21"/>
                <w:szCs w:val="21"/>
                <w:highlight w:val="none"/>
                <w:lang w:val="en-US" w:eastAsia="zh-CN" w:bidi="ar-SA"/>
              </w:rPr>
              <w:t>，每项得2分，满分</w:t>
            </w:r>
            <w:r>
              <w:rPr>
                <w:rFonts w:hint="eastAsia" w:ascii="宋体"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w:t>
            </w:r>
            <w:r>
              <w:rPr>
                <w:rFonts w:hint="eastAsia" w:ascii="宋体" w:hAnsi="宋体" w:eastAsia="宋体" w:cs="宋体"/>
                <w:bCs/>
                <w:color w:val="auto"/>
                <w:kern w:val="0"/>
                <w:szCs w:val="21"/>
                <w:highlight w:val="none"/>
              </w:rPr>
              <w:t>（上述业绩请提供中标（成交）通知书扫描件或合同关键页扫描件，项目不重复计算）</w:t>
            </w:r>
            <w:r>
              <w:rPr>
                <w:rFonts w:hint="eastAsia" w:ascii="宋体" w:hAnsi="宋体" w:eastAsia="宋体" w:cs="宋体"/>
                <w:bCs/>
                <w:color w:val="auto"/>
                <w:kern w:val="0"/>
                <w:sz w:val="21"/>
                <w:szCs w:val="21"/>
                <w:highlight w:val="none"/>
                <w:lang w:val="en-US" w:eastAsia="zh-CN" w:bidi="ar-SA"/>
              </w:rPr>
              <w:t>。</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5774491E">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8</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6861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803" w:type="dxa"/>
            <w:tcBorders>
              <w:top w:val="single" w:color="auto" w:sz="4" w:space="0"/>
              <w:left w:val="single" w:color="000000" w:sz="4" w:space="0"/>
              <w:bottom w:val="single" w:color="000000" w:sz="4" w:space="0"/>
              <w:right w:val="single" w:color="000000" w:sz="4" w:space="0"/>
            </w:tcBorders>
            <w:noWrap w:val="0"/>
            <w:vAlign w:val="center"/>
          </w:tcPr>
          <w:p w14:paraId="66E15DFD">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3.1</w:t>
            </w: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7DABF86B">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cs="宋体"/>
                <w:b w:val="0"/>
                <w:i w:val="0"/>
                <w:caps w:val="0"/>
                <w:color w:val="auto"/>
                <w:spacing w:val="0"/>
                <w:w w:val="100"/>
                <w:kern w:val="2"/>
                <w:sz w:val="21"/>
                <w:szCs w:val="21"/>
                <w:highlight w:val="none"/>
                <w:lang w:val="en-US" w:eastAsia="zh-CN" w:bidi="ar-SA"/>
              </w:rPr>
              <w:t>综合实力分</w:t>
            </w:r>
          </w:p>
        </w:tc>
        <w:tc>
          <w:tcPr>
            <w:tcW w:w="6288" w:type="dxa"/>
            <w:tcBorders>
              <w:top w:val="single" w:color="auto" w:sz="4" w:space="0"/>
              <w:left w:val="single" w:color="000000" w:sz="4" w:space="0"/>
              <w:bottom w:val="single" w:color="000000" w:sz="4" w:space="0"/>
              <w:right w:val="single" w:color="000000" w:sz="4" w:space="0"/>
            </w:tcBorders>
            <w:noWrap w:val="0"/>
            <w:vAlign w:val="top"/>
          </w:tcPr>
          <w:p w14:paraId="794405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rPr>
                <w:rStyle w:val="21"/>
                <w:rFonts w:hint="default" w:ascii="宋体" w:hAnsi="宋体" w:cs="Times New Roman"/>
                <w:b w:val="0"/>
                <w:bCs w:val="0"/>
                <w:i w:val="0"/>
                <w:iCs w:val="0"/>
                <w:caps w:val="0"/>
                <w:color w:val="auto"/>
                <w:spacing w:val="0"/>
                <w:sz w:val="21"/>
                <w:szCs w:val="24"/>
                <w:highlight w:val="none"/>
                <w:shd w:val="clear"/>
                <w:lang w:val="en-US" w:eastAsia="zh-CN"/>
              </w:rPr>
            </w:pPr>
            <w:r>
              <w:rPr>
                <w:rStyle w:val="21"/>
                <w:rFonts w:hint="eastAsia" w:ascii="宋体" w:hAnsi="宋体" w:cs="Times New Roman"/>
                <w:b w:val="0"/>
                <w:bCs w:val="0"/>
                <w:i w:val="0"/>
                <w:iCs w:val="0"/>
                <w:caps w:val="0"/>
                <w:color w:val="auto"/>
                <w:spacing w:val="0"/>
                <w:sz w:val="21"/>
                <w:szCs w:val="24"/>
                <w:highlight w:val="none"/>
                <w:shd w:val="clear"/>
                <w:lang w:val="en-US" w:eastAsia="zh-CN"/>
              </w:rPr>
              <w:t>供应商具有</w:t>
            </w:r>
            <w:r>
              <w:rPr>
                <w:rStyle w:val="21"/>
                <w:rFonts w:hint="eastAsia" w:ascii="宋体" w:hAnsi="宋体" w:eastAsia="宋体" w:cs="Times New Roman"/>
                <w:b w:val="0"/>
                <w:bCs w:val="0"/>
                <w:i w:val="0"/>
                <w:iCs w:val="0"/>
                <w:caps w:val="0"/>
                <w:color w:val="auto"/>
                <w:spacing w:val="0"/>
                <w:sz w:val="21"/>
                <w:szCs w:val="24"/>
                <w:highlight w:val="none"/>
                <w:shd w:val="clear"/>
              </w:rPr>
              <w:t>风景园林工程设计专项资质</w:t>
            </w:r>
            <w:r>
              <w:rPr>
                <w:rStyle w:val="21"/>
                <w:rFonts w:hint="eastAsia" w:ascii="宋体" w:hAnsi="宋体" w:cs="Times New Roman"/>
                <w:b w:val="0"/>
                <w:bCs w:val="0"/>
                <w:i w:val="0"/>
                <w:iCs w:val="0"/>
                <w:caps w:val="0"/>
                <w:color w:val="auto"/>
                <w:spacing w:val="0"/>
                <w:sz w:val="21"/>
                <w:szCs w:val="24"/>
                <w:highlight w:val="none"/>
                <w:shd w:val="clear"/>
                <w:lang w:val="en-US" w:eastAsia="zh-CN"/>
              </w:rPr>
              <w:t>甲</w:t>
            </w:r>
            <w:r>
              <w:rPr>
                <w:rStyle w:val="21"/>
                <w:rFonts w:hint="eastAsia" w:ascii="宋体" w:hAnsi="宋体" w:eastAsia="宋体" w:cs="Times New Roman"/>
                <w:b w:val="0"/>
                <w:bCs w:val="0"/>
                <w:i w:val="0"/>
                <w:iCs w:val="0"/>
                <w:caps w:val="0"/>
                <w:color w:val="auto"/>
                <w:spacing w:val="0"/>
                <w:sz w:val="21"/>
                <w:szCs w:val="24"/>
                <w:highlight w:val="none"/>
                <w:shd w:val="clear"/>
              </w:rPr>
              <w:t>级</w:t>
            </w:r>
            <w:r>
              <w:rPr>
                <w:rStyle w:val="21"/>
                <w:rFonts w:hint="eastAsia" w:ascii="宋体" w:hAnsi="宋体" w:cs="Times New Roman"/>
                <w:b w:val="0"/>
                <w:bCs w:val="0"/>
                <w:i w:val="0"/>
                <w:iCs w:val="0"/>
                <w:caps w:val="0"/>
                <w:color w:val="auto"/>
                <w:spacing w:val="0"/>
                <w:sz w:val="21"/>
                <w:szCs w:val="24"/>
                <w:highlight w:val="none"/>
                <w:shd w:val="clear"/>
                <w:lang w:val="en-US" w:eastAsia="zh-CN"/>
              </w:rPr>
              <w:t>7分，</w:t>
            </w:r>
            <w:r>
              <w:rPr>
                <w:rStyle w:val="21"/>
                <w:rFonts w:hint="eastAsia" w:ascii="宋体" w:hAnsi="宋体" w:eastAsia="宋体" w:cs="Times New Roman"/>
                <w:b w:val="0"/>
                <w:bCs w:val="0"/>
                <w:i w:val="0"/>
                <w:iCs w:val="0"/>
                <w:caps w:val="0"/>
                <w:color w:val="auto"/>
                <w:spacing w:val="0"/>
                <w:sz w:val="21"/>
                <w:szCs w:val="24"/>
                <w:highlight w:val="none"/>
                <w:shd w:val="clear"/>
              </w:rPr>
              <w:t>风景园林工程设计专项资质</w:t>
            </w:r>
            <w:r>
              <w:rPr>
                <w:rStyle w:val="21"/>
                <w:rFonts w:hint="eastAsia" w:ascii="宋体" w:hAnsi="宋体" w:cs="Times New Roman"/>
                <w:b w:val="0"/>
                <w:bCs w:val="0"/>
                <w:i w:val="0"/>
                <w:iCs w:val="0"/>
                <w:caps w:val="0"/>
                <w:color w:val="auto"/>
                <w:spacing w:val="0"/>
                <w:sz w:val="21"/>
                <w:szCs w:val="24"/>
                <w:highlight w:val="none"/>
                <w:shd w:val="clear"/>
                <w:lang w:val="en-US" w:eastAsia="zh-CN"/>
              </w:rPr>
              <w:t>乙</w:t>
            </w:r>
            <w:r>
              <w:rPr>
                <w:rStyle w:val="21"/>
                <w:rFonts w:hint="eastAsia" w:ascii="宋体" w:hAnsi="宋体" w:eastAsia="宋体" w:cs="Times New Roman"/>
                <w:b w:val="0"/>
                <w:bCs w:val="0"/>
                <w:i w:val="0"/>
                <w:iCs w:val="0"/>
                <w:caps w:val="0"/>
                <w:color w:val="auto"/>
                <w:spacing w:val="0"/>
                <w:sz w:val="21"/>
                <w:szCs w:val="24"/>
                <w:highlight w:val="none"/>
                <w:shd w:val="clear"/>
              </w:rPr>
              <w:t>级</w:t>
            </w:r>
            <w:r>
              <w:rPr>
                <w:rStyle w:val="21"/>
                <w:rFonts w:hint="eastAsia" w:ascii="宋体" w:hAnsi="宋体" w:cs="Times New Roman"/>
                <w:b w:val="0"/>
                <w:bCs w:val="0"/>
                <w:i w:val="0"/>
                <w:iCs w:val="0"/>
                <w:caps w:val="0"/>
                <w:color w:val="auto"/>
                <w:spacing w:val="0"/>
                <w:sz w:val="21"/>
                <w:szCs w:val="24"/>
                <w:highlight w:val="none"/>
                <w:shd w:val="clear"/>
                <w:lang w:val="en-US" w:eastAsia="zh-CN"/>
              </w:rPr>
              <w:t>3分。满分7分。</w:t>
            </w:r>
          </w:p>
        </w:tc>
        <w:tc>
          <w:tcPr>
            <w:tcW w:w="851" w:type="dxa"/>
            <w:tcBorders>
              <w:top w:val="single" w:color="auto" w:sz="4" w:space="0"/>
              <w:left w:val="single" w:color="000000" w:sz="4" w:space="0"/>
              <w:bottom w:val="single" w:color="000000" w:sz="4" w:space="0"/>
              <w:right w:val="single" w:color="000000" w:sz="4" w:space="0"/>
            </w:tcBorders>
            <w:noWrap w:val="0"/>
            <w:vAlign w:val="center"/>
          </w:tcPr>
          <w:p w14:paraId="4E2B72A7">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7分</w:t>
            </w:r>
          </w:p>
        </w:tc>
      </w:tr>
      <w:tr w14:paraId="11513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239" w:type="dxa"/>
            <w:gridSpan w:val="3"/>
            <w:tcBorders>
              <w:top w:val="single" w:color="000000" w:sz="4" w:space="0"/>
              <w:left w:val="single" w:color="000000" w:sz="4" w:space="0"/>
              <w:bottom w:val="single" w:color="000000" w:sz="4" w:space="0"/>
              <w:right w:val="single" w:color="000000" w:sz="4" w:space="0"/>
            </w:tcBorders>
            <w:noWrap w:val="0"/>
            <w:vAlign w:val="top"/>
          </w:tcPr>
          <w:p w14:paraId="43AC0340">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firstLine="422" w:firstLineChars="200"/>
              <w:jc w:val="both"/>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bCs w:val="0"/>
                <w:i w:val="0"/>
                <w:caps w:val="0"/>
                <w:color w:val="auto"/>
                <w:spacing w:val="0"/>
                <w:w w:val="100"/>
                <w:kern w:val="2"/>
                <w:sz w:val="21"/>
                <w:szCs w:val="21"/>
                <w:highlight w:val="none"/>
                <w:lang w:val="en-US" w:eastAsia="zh-CN" w:bidi="ar-SA"/>
              </w:rPr>
              <w:t>总得分＝1＋2＋3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6A015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100分</w:t>
            </w:r>
          </w:p>
        </w:tc>
      </w:tr>
    </w:tbl>
    <w:p w14:paraId="487D9102">
      <w:pPr>
        <w:pStyle w:val="15"/>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b/>
          <w:bCs/>
          <w:color w:val="auto"/>
          <w:sz w:val="21"/>
          <w:szCs w:val="21"/>
          <w:highlight w:val="none"/>
        </w:rPr>
      </w:pPr>
      <w:r>
        <w:rPr>
          <w:rFonts w:hint="eastAsia" w:ascii="宋体" w:hAnsi="宋体"/>
          <w:b/>
          <w:bCs/>
          <w:color w:val="auto"/>
          <w:sz w:val="21"/>
          <w:szCs w:val="21"/>
          <w:highlight w:val="none"/>
        </w:rPr>
        <w:t>三、成交候选供应商推荐原则</w:t>
      </w:r>
    </w:p>
    <w:p w14:paraId="7FF9C5E3">
      <w:pPr>
        <w:pStyle w:val="11"/>
        <w:keepNext w:val="0"/>
        <w:keepLines w:val="0"/>
        <w:pageBreakBefore w:val="0"/>
        <w:widowControl w:val="0"/>
        <w:kinsoku/>
        <w:wordWrap/>
        <w:overflowPunct/>
        <w:topLinePunct w:val="0"/>
        <w:autoSpaceDE/>
        <w:autoSpaceDN/>
        <w:bidi w:val="0"/>
        <w:snapToGrid/>
        <w:spacing w:line="400" w:lineRule="exact"/>
        <w:rPr>
          <w:rFonts w:hint="eastAsia" w:hAnsi="宋体" w:cs="Times New Roman"/>
          <w:color w:val="auto"/>
          <w:sz w:val="21"/>
          <w:szCs w:val="21"/>
          <w:highlight w:val="none"/>
        </w:rPr>
      </w:pPr>
      <w:r>
        <w:rPr>
          <w:rFonts w:hint="eastAsia" w:hAnsi="宋体"/>
          <w:b/>
          <w:color w:val="auto"/>
          <w:sz w:val="21"/>
          <w:szCs w:val="21"/>
          <w:highlight w:val="none"/>
        </w:rPr>
        <w:t xml:space="preserve">    </w:t>
      </w:r>
      <w:r>
        <w:rPr>
          <w:rFonts w:hint="eastAsia" w:hAnsi="宋体" w:cs="Times New Roman"/>
          <w:color w:val="auto"/>
          <w:sz w:val="21"/>
          <w:szCs w:val="21"/>
          <w:highlight w:val="none"/>
        </w:rPr>
        <w:t>（一）磋商小组将根据得分由高到低排列次序（得分相同时，以磋商报价</w:t>
      </w:r>
      <w:r>
        <w:rPr>
          <w:rFonts w:hint="eastAsia" w:hAnsi="宋体" w:cs="Times New Roman"/>
          <w:b/>
          <w:color w:val="auto"/>
          <w:sz w:val="21"/>
          <w:szCs w:val="21"/>
          <w:highlight w:val="none"/>
        </w:rPr>
        <w:t>由低到高</w:t>
      </w:r>
      <w:r>
        <w:rPr>
          <w:rFonts w:hint="eastAsia" w:hAnsi="宋体" w:cs="Times New Roman"/>
          <w:color w:val="auto"/>
          <w:sz w:val="21"/>
          <w:szCs w:val="21"/>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sz w:val="21"/>
          <w:szCs w:val="21"/>
          <w:highlight w:val="none"/>
        </w:rPr>
        <w:t>疑</w:t>
      </w:r>
      <w:r>
        <w:rPr>
          <w:rFonts w:hAnsi="宋体"/>
          <w:color w:val="auto"/>
          <w:sz w:val="21"/>
          <w:szCs w:val="21"/>
          <w:highlight w:val="none"/>
        </w:rPr>
        <w:t>成立</w:t>
      </w:r>
      <w:r>
        <w:rPr>
          <w:rFonts w:hint="eastAsia" w:hAnsi="宋体" w:cs="Times New Roman"/>
          <w:color w:val="auto"/>
          <w:sz w:val="21"/>
          <w:szCs w:val="21"/>
          <w:highlight w:val="none"/>
        </w:rPr>
        <w:t>后取消成交资格，合格供应商符合法定数量时，可以从合格的成交候选人中另行确定成交供应商的，应当依法另行确定成交供应商；否则应当重新开展采购活动。</w:t>
      </w:r>
    </w:p>
    <w:p w14:paraId="5B53F8BD">
      <w:pPr>
        <w:keepNext w:val="0"/>
        <w:keepLines w:val="0"/>
        <w:pageBreakBefore w:val="0"/>
        <w:widowControl w:val="0"/>
        <w:kinsoku/>
        <w:wordWrap/>
        <w:overflowPunct/>
        <w:topLinePunct w:val="0"/>
        <w:autoSpaceDE/>
        <w:autoSpaceDN/>
        <w:bidi w:val="0"/>
        <w:snapToGrid/>
        <w:spacing w:line="400" w:lineRule="exact"/>
        <w:ind w:firstLine="420"/>
        <w:rPr>
          <w:rFonts w:hint="eastAsia" w:ascii="宋体" w:hAnsi="宋体"/>
          <w:color w:val="auto"/>
          <w:sz w:val="21"/>
          <w:szCs w:val="21"/>
          <w:highlight w:val="none"/>
        </w:rPr>
      </w:pPr>
      <w:r>
        <w:rPr>
          <w:rFonts w:hint="eastAsia" w:ascii="宋体" w:hAnsi="宋体"/>
          <w:color w:val="auto"/>
          <w:sz w:val="21"/>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53E2DF1">
      <w:pPr>
        <w:keepNext w:val="0"/>
        <w:keepLines w:val="0"/>
        <w:pageBreakBefore w:val="0"/>
        <w:widowControl w:val="0"/>
        <w:kinsoku/>
        <w:wordWrap/>
        <w:overflowPunct/>
        <w:topLinePunct w:val="0"/>
        <w:autoSpaceDE/>
        <w:autoSpaceDN/>
        <w:bidi w:val="0"/>
        <w:snapToGrid/>
        <w:spacing w:line="380" w:lineRule="exact"/>
        <w:rPr>
          <w:color w:val="auto"/>
          <w:highlight w:val="none"/>
        </w:rPr>
      </w:pPr>
    </w:p>
    <w:p w14:paraId="5BDEF209">
      <w:pPr>
        <w:keepNext w:val="0"/>
        <w:keepLines w:val="0"/>
        <w:pageBreakBefore w:val="0"/>
        <w:widowControl w:val="0"/>
        <w:kinsoku/>
        <w:wordWrap/>
        <w:overflowPunct/>
        <w:topLinePunct w:val="0"/>
        <w:autoSpaceDE/>
        <w:autoSpaceDN/>
        <w:bidi w:val="0"/>
        <w:snapToGrid/>
        <w:spacing w:line="380" w:lineRule="exact"/>
        <w:rPr>
          <w:color w:val="auto"/>
          <w:highlight w:val="none"/>
        </w:rPr>
      </w:pPr>
    </w:p>
    <w:p w14:paraId="6809696D">
      <w:pPr>
        <w:keepNext w:val="0"/>
        <w:keepLines w:val="0"/>
        <w:pageBreakBefore w:val="0"/>
        <w:widowControl w:val="0"/>
        <w:kinsoku/>
        <w:wordWrap/>
        <w:overflowPunct/>
        <w:topLinePunct w:val="0"/>
        <w:autoSpaceDE/>
        <w:autoSpaceDN/>
        <w:bidi w:val="0"/>
        <w:snapToGrid/>
        <w:spacing w:line="380" w:lineRule="exact"/>
        <w:rPr>
          <w:color w:val="auto"/>
          <w:highlight w:val="none"/>
        </w:rPr>
      </w:pPr>
    </w:p>
    <w:sectPr>
      <w:footerReference r:id="rId11" w:type="first"/>
      <w:headerReference r:id="rId8" w:type="default"/>
      <w:footerReference r:id="rId9" w:type="default"/>
      <w:footerReference r:id="rId10" w:type="even"/>
      <w:pgSz w:w="11905" w:h="16838"/>
      <w:pgMar w:top="1134" w:right="1134" w:bottom="1134" w:left="113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8CF9">
    <w:pPr>
      <w:widowControl/>
      <w:kinsoku w:val="0"/>
      <w:autoSpaceDE w:val="0"/>
      <w:autoSpaceDN w:val="0"/>
      <w:adjustRightInd w:val="0"/>
      <w:snapToGrid w:val="0"/>
      <w:spacing w:line="176" w:lineRule="auto"/>
      <w:ind w:left="445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EA0D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6EA0D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3382">
    <w:pPr>
      <w:widowControl/>
      <w:kinsoku w:val="0"/>
      <w:autoSpaceDE w:val="0"/>
      <w:autoSpaceDN w:val="0"/>
      <w:adjustRightInd w:val="0"/>
      <w:snapToGrid w:val="0"/>
      <w:spacing w:line="176" w:lineRule="auto"/>
      <w:ind w:left="4452"/>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558E5">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E558E5">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B3B7">
    <w:pPr>
      <w:widowControl/>
      <w:kinsoku w:val="0"/>
      <w:autoSpaceDE w:val="0"/>
      <w:autoSpaceDN w:val="0"/>
      <w:adjustRightInd w:val="0"/>
      <w:snapToGrid w:val="0"/>
      <w:spacing w:line="176" w:lineRule="auto"/>
      <w:ind w:left="4458"/>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0A350">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90A350">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2C6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D1C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14D1C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E5DD">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6035C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B5A2">
    <w:pPr>
      <w:pStyle w:val="12"/>
      <w:ind w:right="360"/>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0CA19">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0CA19">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BA6D">
    <w:pPr>
      <w:pStyle w:val="13"/>
      <w:jc w:val="right"/>
      <w:rPr>
        <w:rFonts w:hint="eastAsia" w:ascii="宋体" w:hAnsi="宋体" w:eastAsia="宋体" w:cs="宋体"/>
        <w:lang w:eastAsia="zh-CN"/>
      </w:rPr>
    </w:pPr>
    <w:r>
      <w:rPr>
        <w:rFonts w:hint="eastAsia" w:ascii="宋体" w:hAnsi="宋体" w:cs="宋体"/>
        <w:lang w:eastAsia="zh-CN"/>
      </w:rPr>
      <w:t>广西财经学院明秀校区总平规划调整和修建性详细规划项目（重）</w:t>
    </w:r>
    <w:r>
      <w:rPr>
        <w:rFonts w:hint="eastAsia" w:ascii="宋体" w:hAnsi="宋体" w:eastAsia="宋体" w:cs="宋体"/>
        <w:lang w:eastAsia="zh-CN"/>
      </w:rPr>
      <w:t>（</w:t>
    </w:r>
    <w:r>
      <w:rPr>
        <w:rFonts w:hint="eastAsia" w:ascii="宋体" w:hAnsi="宋体" w:cs="宋体"/>
        <w:lang w:eastAsia="zh-CN"/>
      </w:rPr>
      <w:t>GXGL2025S-C567-Z（2）</w:t>
    </w:r>
    <w:r>
      <w:rPr>
        <w:rFonts w:hint="eastAsia" w:ascii="宋体" w:hAnsi="宋体" w:eastAsia="宋体" w:cs="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1983">
    <w:pPr>
      <w:pStyle w:val="13"/>
      <w:rPr>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8D92">
    <w:pPr>
      <w:pStyle w:val="13"/>
      <w:wordWrap w:val="0"/>
      <w:jc w:val="right"/>
      <w:rPr>
        <w:rFonts w:hint="eastAsia" w:ascii="宋体" w:hAnsi="宋体"/>
      </w:rPr>
    </w:pPr>
    <w:r>
      <w:rPr>
        <w:rFonts w:hint="eastAsia" w:ascii="宋体" w:hAnsi="宋体"/>
        <w:lang w:eastAsia="zh-CN"/>
      </w:rPr>
      <w:t>广西财经学院明秀校区总平规划调整和修建性详细规划项目（重）</w:t>
    </w:r>
    <w:r>
      <w:rPr>
        <w:rFonts w:hint="eastAsia" w:ascii="宋体" w:hAnsi="宋体"/>
      </w:rPr>
      <w:t>（</w:t>
    </w:r>
    <w:r>
      <w:rPr>
        <w:rFonts w:hint="eastAsia" w:ascii="宋体" w:hAnsi="宋体"/>
        <w:color w:val="auto"/>
        <w:lang w:val="en-US" w:eastAsia="zh-CN"/>
      </w:rPr>
      <w:t>GXGL2025S-C567-Z（2）</w:t>
    </w:r>
    <w:r>
      <w:rPr>
        <w:rFonts w:hint="eastAsia" w:ascii="宋体" w:hAnsi="宋体"/>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OWE4NTA2YzBhYTlhOTQ2ODFkZTBiZmMyMmZjNTUifQ=="/>
    <w:docVar w:name="KSO_WPS_MARK_KEY" w:val="023c7e4b-de79-4bf8-9c32-32e8063a4817"/>
  </w:docVars>
  <w:rsids>
    <w:rsidRoot w:val="1EB17F18"/>
    <w:rsid w:val="00F65EE4"/>
    <w:rsid w:val="03580789"/>
    <w:rsid w:val="03A325E0"/>
    <w:rsid w:val="03E44612"/>
    <w:rsid w:val="042F54F9"/>
    <w:rsid w:val="05151950"/>
    <w:rsid w:val="05B35C2A"/>
    <w:rsid w:val="0858732C"/>
    <w:rsid w:val="0D4E1EA3"/>
    <w:rsid w:val="0DB53CD0"/>
    <w:rsid w:val="0E5D688B"/>
    <w:rsid w:val="0FDE1714"/>
    <w:rsid w:val="10AA7617"/>
    <w:rsid w:val="10D47B02"/>
    <w:rsid w:val="119D4909"/>
    <w:rsid w:val="11F61E6D"/>
    <w:rsid w:val="120D5E88"/>
    <w:rsid w:val="139A271C"/>
    <w:rsid w:val="149C545C"/>
    <w:rsid w:val="14E8229B"/>
    <w:rsid w:val="1531199B"/>
    <w:rsid w:val="15A657CA"/>
    <w:rsid w:val="15C42D02"/>
    <w:rsid w:val="165B2F3A"/>
    <w:rsid w:val="16B00B30"/>
    <w:rsid w:val="178E2A90"/>
    <w:rsid w:val="1AB3778E"/>
    <w:rsid w:val="1C184EC3"/>
    <w:rsid w:val="1D756FD8"/>
    <w:rsid w:val="1DFE7136"/>
    <w:rsid w:val="1EB17F18"/>
    <w:rsid w:val="1F5115F8"/>
    <w:rsid w:val="1FC677AE"/>
    <w:rsid w:val="202076CF"/>
    <w:rsid w:val="2144703F"/>
    <w:rsid w:val="227D06FB"/>
    <w:rsid w:val="22823C2A"/>
    <w:rsid w:val="23BC6B78"/>
    <w:rsid w:val="23C8359B"/>
    <w:rsid w:val="23EA4532"/>
    <w:rsid w:val="24AC1FB6"/>
    <w:rsid w:val="25BD776E"/>
    <w:rsid w:val="25F03DD5"/>
    <w:rsid w:val="27566847"/>
    <w:rsid w:val="277B422E"/>
    <w:rsid w:val="28CD5D77"/>
    <w:rsid w:val="290B73AD"/>
    <w:rsid w:val="294E18B8"/>
    <w:rsid w:val="29826AFB"/>
    <w:rsid w:val="29DB7791"/>
    <w:rsid w:val="2A3D18BB"/>
    <w:rsid w:val="2A3D2694"/>
    <w:rsid w:val="2B865230"/>
    <w:rsid w:val="2C9955F5"/>
    <w:rsid w:val="2D871A01"/>
    <w:rsid w:val="2ED2428A"/>
    <w:rsid w:val="2EFB7018"/>
    <w:rsid w:val="2F530D52"/>
    <w:rsid w:val="31EF775C"/>
    <w:rsid w:val="34F24140"/>
    <w:rsid w:val="35301317"/>
    <w:rsid w:val="37806E55"/>
    <w:rsid w:val="38007070"/>
    <w:rsid w:val="390B31F9"/>
    <w:rsid w:val="3A1731AD"/>
    <w:rsid w:val="3CAD6421"/>
    <w:rsid w:val="3D06779A"/>
    <w:rsid w:val="3D1D0FEA"/>
    <w:rsid w:val="3D785251"/>
    <w:rsid w:val="3DFC5847"/>
    <w:rsid w:val="3E810BCB"/>
    <w:rsid w:val="3F6411CC"/>
    <w:rsid w:val="40271F5C"/>
    <w:rsid w:val="40DF3A10"/>
    <w:rsid w:val="40E816EB"/>
    <w:rsid w:val="41502C98"/>
    <w:rsid w:val="41EB68F2"/>
    <w:rsid w:val="423009C2"/>
    <w:rsid w:val="433F0E43"/>
    <w:rsid w:val="44772A0F"/>
    <w:rsid w:val="46C81365"/>
    <w:rsid w:val="47C02883"/>
    <w:rsid w:val="47E90EFB"/>
    <w:rsid w:val="48931D94"/>
    <w:rsid w:val="48C60564"/>
    <w:rsid w:val="4AC72C8D"/>
    <w:rsid w:val="4C17135C"/>
    <w:rsid w:val="4CA11388"/>
    <w:rsid w:val="4EC039FB"/>
    <w:rsid w:val="4EDC0884"/>
    <w:rsid w:val="4F730E42"/>
    <w:rsid w:val="5084642B"/>
    <w:rsid w:val="509B0528"/>
    <w:rsid w:val="517E1133"/>
    <w:rsid w:val="520B5238"/>
    <w:rsid w:val="5253525C"/>
    <w:rsid w:val="52E47BFC"/>
    <w:rsid w:val="533C1422"/>
    <w:rsid w:val="53FE1884"/>
    <w:rsid w:val="54B020C8"/>
    <w:rsid w:val="54F42376"/>
    <w:rsid w:val="556A141A"/>
    <w:rsid w:val="55BB6F76"/>
    <w:rsid w:val="565C299C"/>
    <w:rsid w:val="5793195E"/>
    <w:rsid w:val="58C56CF8"/>
    <w:rsid w:val="58D51B30"/>
    <w:rsid w:val="597E2795"/>
    <w:rsid w:val="5AA77AC9"/>
    <w:rsid w:val="5B693EEC"/>
    <w:rsid w:val="5C1A1CD6"/>
    <w:rsid w:val="5CC65434"/>
    <w:rsid w:val="5D7B70EE"/>
    <w:rsid w:val="5EBA5F76"/>
    <w:rsid w:val="5EE44E48"/>
    <w:rsid w:val="5F0E4D1D"/>
    <w:rsid w:val="5F10504A"/>
    <w:rsid w:val="5FC52ECB"/>
    <w:rsid w:val="603443CF"/>
    <w:rsid w:val="60C5514D"/>
    <w:rsid w:val="61946992"/>
    <w:rsid w:val="622002C3"/>
    <w:rsid w:val="62747816"/>
    <w:rsid w:val="62831FD7"/>
    <w:rsid w:val="64C524E2"/>
    <w:rsid w:val="66790F16"/>
    <w:rsid w:val="66DE0D17"/>
    <w:rsid w:val="66DF78DB"/>
    <w:rsid w:val="67C21B9B"/>
    <w:rsid w:val="67EE515D"/>
    <w:rsid w:val="6ABC231A"/>
    <w:rsid w:val="6AD227CD"/>
    <w:rsid w:val="6B4F06B5"/>
    <w:rsid w:val="6C617890"/>
    <w:rsid w:val="6D5D67A7"/>
    <w:rsid w:val="6E102DC0"/>
    <w:rsid w:val="6FF5470F"/>
    <w:rsid w:val="71097544"/>
    <w:rsid w:val="720E0702"/>
    <w:rsid w:val="72580A84"/>
    <w:rsid w:val="72AE2759"/>
    <w:rsid w:val="747D44D4"/>
    <w:rsid w:val="74DB57BF"/>
    <w:rsid w:val="75F60993"/>
    <w:rsid w:val="76426BCC"/>
    <w:rsid w:val="76515314"/>
    <w:rsid w:val="76A07D97"/>
    <w:rsid w:val="78C807A3"/>
    <w:rsid w:val="7A4C1058"/>
    <w:rsid w:val="7B66335D"/>
    <w:rsid w:val="7CA332F6"/>
    <w:rsid w:val="7D17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560" w:lineRule="exact"/>
      <w:ind w:firstLine="723" w:firstLineChars="200"/>
      <w:jc w:val="both"/>
      <w:outlineLvl w:val="0"/>
    </w:pPr>
    <w:rPr>
      <w:rFonts w:ascii="等线" w:hAnsi="等线" w:eastAsia="黑体" w:cs="宋体"/>
      <w:bCs/>
      <w:kern w:val="44"/>
      <w:sz w:val="32"/>
      <w:szCs w:val="44"/>
      <w:lang w:val="en-US" w:eastAsia="zh-CN" w:bidi="ar-SA"/>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8"/>
      <w:szCs w:val="28"/>
      <w14:textFill>
        <w14:solidFill>
          <w14:schemeClr w14:val="accent1"/>
        </w14:solidFill>
      </w14:textFill>
    </w:rPr>
  </w:style>
  <w:style w:type="paragraph" w:styleId="4">
    <w:name w:val="heading 3"/>
    <w:basedOn w:val="1"/>
    <w:next w:val="5"/>
    <w:unhideWhenUsed/>
    <w:qFormat/>
    <w:uiPriority w:val="9"/>
    <w:pPr>
      <w:keepNext/>
      <w:keepLines/>
      <w:spacing w:before="200" w:after="0"/>
      <w:outlineLvl w:val="2"/>
    </w:pPr>
    <w:rPr>
      <w:rFonts w:asciiTheme="majorHAnsi" w:hAnsiTheme="majorHAnsi" w:eastAsiaTheme="majorEastAsia" w:cstheme="majorBidi"/>
      <w:b/>
      <w:bCs/>
      <w:color w:val="4874CB" w:themeColor="accent1"/>
      <w:sz w:val="24"/>
      <w:szCs w:val="24"/>
      <w14:textFill>
        <w14:solidFill>
          <w14:schemeClr w14:val="accent1"/>
        </w14:solidFill>
      </w14:textFill>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next w:val="1"/>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80" w:lineRule="exact"/>
    </w:pPr>
    <w:rPr>
      <w:sz w:val="24"/>
    </w:rPr>
  </w:style>
  <w:style w:type="paragraph" w:styleId="8">
    <w:name w:val="annotation text"/>
    <w:basedOn w:val="1"/>
    <w:autoRedefine/>
    <w:qFormat/>
    <w:uiPriority w:val="0"/>
    <w:pPr>
      <w:jc w:val="left"/>
    </w:pPr>
  </w:style>
  <w:style w:type="paragraph" w:styleId="9">
    <w:name w:val="Body Text Indent"/>
    <w:basedOn w:val="1"/>
    <w:autoRedefine/>
    <w:qFormat/>
    <w:uiPriority w:val="0"/>
    <w:pPr>
      <w:ind w:firstLine="830" w:firstLineChars="352"/>
    </w:pPr>
    <w:rPr>
      <w:rFonts w:ascii="仿宋_GB2312" w:eastAsia="仿宋_GB2312"/>
      <w:sz w:val="32"/>
      <w:szCs w:val="20"/>
    </w:rPr>
  </w:style>
  <w:style w:type="paragraph" w:styleId="10">
    <w:name w:val="List 2"/>
    <w:basedOn w:val="1"/>
    <w:autoRedefine/>
    <w:qFormat/>
    <w:uiPriority w:val="0"/>
    <w:pPr>
      <w:ind w:left="100" w:leftChars="200" w:hanging="200" w:hangingChars="200"/>
    </w:pPr>
    <w:rPr>
      <w:sz w:val="28"/>
    </w:rPr>
  </w:style>
  <w:style w:type="paragraph" w:styleId="11">
    <w:name w:val="Plain Text"/>
    <w:basedOn w:val="1"/>
    <w:autoRedefine/>
    <w:qFormat/>
    <w:uiPriority w:val="0"/>
    <w:rPr>
      <w:rFonts w:ascii="宋体" w:hAnsi="Courier New" w:cs="Courier New"/>
      <w:szCs w:val="21"/>
    </w:rPr>
  </w:style>
  <w:style w:type="paragraph" w:styleId="12">
    <w:name w:val="footer"/>
    <w:basedOn w:val="1"/>
    <w:next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16">
    <w:name w:val="Normal (Web)"/>
    <w:basedOn w:val="1"/>
    <w:qFormat/>
    <w:uiPriority w:val="0"/>
    <w:pPr>
      <w:widowControl/>
      <w:spacing w:before="100" w:beforeAutospacing="1" w:after="100" w:afterAutospacing="1"/>
      <w:jc w:val="left"/>
    </w:pPr>
    <w:rPr>
      <w:rFonts w:ascii="宋体" w:hAnsi="Times New Roman" w:eastAsia="宋体" w:cs="Times New Roman"/>
      <w:kern w:val="0"/>
      <w:sz w:val="24"/>
    </w:rPr>
  </w:style>
  <w:style w:type="paragraph" w:styleId="17">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18">
    <w:name w:val="Body Text First Indent 2"/>
    <w:basedOn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autoRedefine/>
    <w:qFormat/>
    <w:uiPriority w:val="0"/>
    <w:rPr>
      <w:rFonts w:ascii="Times New Roman" w:hAnsi="Times New Roman" w:eastAsia="宋体" w:cs="Times New Roman"/>
    </w:rPr>
  </w:style>
  <w:style w:type="character" w:styleId="24">
    <w:name w:val="Hyperlink"/>
    <w:autoRedefine/>
    <w:qFormat/>
    <w:uiPriority w:val="99"/>
    <w:rPr>
      <w:color w:val="0000CC"/>
      <w:sz w:val="18"/>
      <w:szCs w:val="18"/>
      <w:u w:val="single"/>
    </w:rPr>
  </w:style>
  <w:style w:type="character" w:styleId="25">
    <w:name w:val="annotation reference"/>
    <w:autoRedefine/>
    <w:qFormat/>
    <w:uiPriority w:val="0"/>
    <w:rPr>
      <w:sz w:val="21"/>
      <w:szCs w:val="21"/>
    </w:rPr>
  </w:style>
  <w:style w:type="character" w:customStyle="1" w:styleId="26">
    <w:name w:val="NormalCharacter"/>
    <w:autoRedefine/>
    <w:semiHidden/>
    <w:qFormat/>
    <w:uiPriority w:val="0"/>
  </w:style>
  <w:style w:type="paragraph" w:customStyle="1" w:styleId="27">
    <w:name w:val="1"/>
    <w:basedOn w:val="1"/>
    <w:next w:val="11"/>
    <w:autoRedefine/>
    <w:qFormat/>
    <w:uiPriority w:val="0"/>
    <w:rPr>
      <w:rFonts w:ascii="宋体" w:hAnsi="Courier New"/>
      <w:szCs w:val="20"/>
    </w:rPr>
  </w:style>
  <w:style w:type="paragraph" w:customStyle="1" w:styleId="28">
    <w:name w:val="默认段落字体 Para Char Char Char Char Char Char Char Char Char1 Char Char Char Char"/>
    <w:basedOn w:val="1"/>
    <w:autoRedefine/>
    <w:qFormat/>
    <w:uiPriority w:val="0"/>
    <w:rPr>
      <w:rFonts w:ascii="Tahoma" w:hAnsi="Tahoma"/>
      <w:sz w:val="24"/>
      <w:szCs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0">
    <w:name w:val="List Paragraph"/>
    <w:basedOn w:val="1"/>
    <w:autoRedefine/>
    <w:qFormat/>
    <w:uiPriority w:val="34"/>
    <w:pPr>
      <w:ind w:firstLine="420" w:firstLineChars="200"/>
    </w:pPr>
    <w:rPr>
      <w:rFonts w:ascii="Calibri" w:hAnsi="Calibri"/>
      <w:kern w:val="0"/>
      <w:sz w:val="20"/>
      <w:szCs w:val="20"/>
    </w:rPr>
  </w:style>
  <w:style w:type="paragraph" w:customStyle="1" w:styleId="31">
    <w:name w:val="表格文字"/>
    <w:basedOn w:val="1"/>
    <w:autoRedefine/>
    <w:qFormat/>
    <w:uiPriority w:val="99"/>
    <w:pPr>
      <w:jc w:val="left"/>
    </w:pPr>
    <w:rPr>
      <w:bCs/>
      <w:spacing w:val="10"/>
      <w:kern w:val="0"/>
      <w:sz w:val="24"/>
      <w:szCs w:val="24"/>
    </w:rPr>
  </w:style>
  <w:style w:type="paragraph" w:customStyle="1" w:styleId="32">
    <w:name w:val="Compact"/>
    <w:basedOn w:val="5"/>
    <w:qFormat/>
    <w:uiPriority w:val="0"/>
    <w:pPr>
      <w:spacing w:before="36" w:after="36"/>
    </w:p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17025</Words>
  <Characters>18058</Characters>
  <Lines>0</Lines>
  <Paragraphs>0</Paragraphs>
  <TotalTime>56</TotalTime>
  <ScaleCrop>false</ScaleCrop>
  <LinksUpToDate>false</LinksUpToDate>
  <CharactersWithSpaces>19753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2023-08-30T08:09:00Z</dcterms:created>
  <dc:creator>办公小助手</dc:creator>
  <cp:lastModifiedBy>¥¥</cp:lastModifiedBy>
  <dcterms:modified xsi:type="dcterms:W3CDTF">2025-11-18T10:25:17Z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A756A9222C884579B4E328C7865416C0_13</vt:lpwstr>
  </property>
  <property fmtid="{D5CDD505-2E9C-101B-9397-08002B2CF9AE}" pid="4" name="KSOTemplateDocerSaveRecord">
    <vt:lpwstr>eyJoZGlkIjoiNTFlNGFjOWQ5NzM3MTJlYzdjYjk5ZTNkNzk4YjFmMmUiLCJ1c2VySWQiOiIzMjk1OTEyNTYifQ==</vt:lpwstr>
  </property>
</Properties>
</file>